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3A14CF" w:rsidRDefault="00DC30BA" w:rsidP="003A14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4CF">
        <w:rPr>
          <w:rFonts w:ascii="Times New Roman" w:hAnsi="Times New Roman" w:cs="Times New Roman"/>
          <w:b/>
          <w:sz w:val="28"/>
          <w:szCs w:val="28"/>
        </w:rPr>
        <w:t>Методические указания по проведению лабораторных работ.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Лабораторная работа №1 </w:t>
      </w:r>
    </w:p>
    <w:p w:rsidR="00DC30BA" w:rsidRPr="00DC30BA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</w:p>
    <w:p w:rsidR="00E6381C" w:rsidRPr="00E6381C" w:rsidRDefault="00E6381C" w:rsidP="00DC30BA">
      <w:pPr>
        <w:rPr>
          <w:rFonts w:ascii="Times New Roman" w:hAnsi="Times New Roman" w:cs="Times New Roman"/>
          <w:sz w:val="28"/>
          <w:szCs w:val="28"/>
        </w:rPr>
      </w:pPr>
      <w:r w:rsidRPr="00E6381C">
        <w:rPr>
          <w:rFonts w:ascii="Times New Roman" w:hAnsi="Times New Roman" w:cs="Times New Roman"/>
          <w:sz w:val="28"/>
          <w:szCs w:val="28"/>
        </w:rPr>
        <w:t xml:space="preserve">Цель работы: провести сравнительный анализ двух площадок методом </w:t>
      </w:r>
      <w:proofErr w:type="spellStart"/>
      <w:r w:rsidRPr="00E6381C">
        <w:rPr>
          <w:rFonts w:ascii="Times New Roman" w:hAnsi="Times New Roman" w:cs="Times New Roman"/>
          <w:sz w:val="28"/>
          <w:szCs w:val="28"/>
        </w:rPr>
        <w:t>лихеноиндикации</w:t>
      </w:r>
      <w:proofErr w:type="spellEnd"/>
      <w:r w:rsidRPr="00E6381C">
        <w:rPr>
          <w:rFonts w:ascii="Times New Roman" w:hAnsi="Times New Roman" w:cs="Times New Roman"/>
          <w:sz w:val="28"/>
          <w:szCs w:val="28"/>
        </w:rPr>
        <w:t xml:space="preserve"> рекреационной нагрузки. </w:t>
      </w:r>
    </w:p>
    <w:p w:rsidR="00E6381C" w:rsidRPr="00E6381C" w:rsidRDefault="00E6381C" w:rsidP="00DC30BA">
      <w:pPr>
        <w:rPr>
          <w:rFonts w:ascii="Times New Roman" w:hAnsi="Times New Roman" w:cs="Times New Roman"/>
          <w:sz w:val="28"/>
          <w:szCs w:val="28"/>
        </w:rPr>
      </w:pPr>
    </w:p>
    <w:p w:rsidR="00E6381C" w:rsidRDefault="00E6381C" w:rsidP="00DC30BA">
      <w:pPr>
        <w:rPr>
          <w:rFonts w:ascii="Times New Roman" w:hAnsi="Times New Roman" w:cs="Times New Roman"/>
          <w:sz w:val="28"/>
          <w:szCs w:val="28"/>
        </w:rPr>
      </w:pPr>
      <w:r w:rsidRPr="00E6381C">
        <w:rPr>
          <w:rFonts w:ascii="Times New Roman" w:hAnsi="Times New Roman" w:cs="Times New Roman"/>
          <w:sz w:val="28"/>
          <w:szCs w:val="28"/>
        </w:rPr>
        <w:t xml:space="preserve">Задачи: 1. Ознакомиться с принципами определения рекреационной нагрузки на почву с помощью лишайников в природных условиях. </w:t>
      </w:r>
    </w:p>
    <w:p w:rsidR="00E6381C" w:rsidRDefault="00E6381C" w:rsidP="00DC30BA">
      <w:pPr>
        <w:rPr>
          <w:rFonts w:ascii="Times New Roman" w:hAnsi="Times New Roman" w:cs="Times New Roman"/>
          <w:sz w:val="28"/>
          <w:szCs w:val="28"/>
        </w:rPr>
      </w:pPr>
      <w:r w:rsidRPr="00E6381C">
        <w:rPr>
          <w:rFonts w:ascii="Times New Roman" w:hAnsi="Times New Roman" w:cs="Times New Roman"/>
          <w:sz w:val="28"/>
          <w:szCs w:val="28"/>
        </w:rPr>
        <w:t xml:space="preserve">2. Научиться оценивать видовую насыщенность определенной территории. </w:t>
      </w:r>
    </w:p>
    <w:p w:rsidR="00E6381C" w:rsidRDefault="00E6381C" w:rsidP="00DC30BA">
      <w:pPr>
        <w:rPr>
          <w:rFonts w:ascii="Times New Roman" w:hAnsi="Times New Roman" w:cs="Times New Roman"/>
          <w:sz w:val="28"/>
          <w:szCs w:val="28"/>
        </w:rPr>
      </w:pPr>
    </w:p>
    <w:p w:rsidR="00E6381C" w:rsidRDefault="00E6381C" w:rsidP="00DC30BA">
      <w:pPr>
        <w:rPr>
          <w:rFonts w:ascii="Times New Roman" w:hAnsi="Times New Roman" w:cs="Times New Roman"/>
          <w:sz w:val="28"/>
          <w:szCs w:val="28"/>
        </w:rPr>
      </w:pPr>
      <w:r w:rsidRPr="00E6381C">
        <w:rPr>
          <w:rFonts w:ascii="Times New Roman" w:hAnsi="Times New Roman" w:cs="Times New Roman"/>
          <w:sz w:val="28"/>
          <w:szCs w:val="28"/>
        </w:rPr>
        <w:t xml:space="preserve">3. Составить отчет с оценкой сходства и различия пробных площадок по видовому разнообразию и реакционной нагрузки на исследуемую территорию. </w:t>
      </w:r>
    </w:p>
    <w:p w:rsidR="00E6381C" w:rsidRDefault="00E6381C" w:rsidP="00DC30BA">
      <w:pPr>
        <w:rPr>
          <w:rFonts w:ascii="Times New Roman" w:hAnsi="Times New Roman" w:cs="Times New Roman"/>
          <w:sz w:val="28"/>
          <w:szCs w:val="28"/>
        </w:rPr>
      </w:pPr>
    </w:p>
    <w:p w:rsidR="00E6381C" w:rsidRDefault="00E6381C" w:rsidP="00DC30BA">
      <w:pPr>
        <w:rPr>
          <w:rFonts w:ascii="Times New Roman" w:hAnsi="Times New Roman" w:cs="Times New Roman"/>
          <w:sz w:val="28"/>
          <w:szCs w:val="28"/>
        </w:rPr>
      </w:pPr>
      <w:r w:rsidRPr="00E6381C">
        <w:rPr>
          <w:rFonts w:ascii="Times New Roman" w:hAnsi="Times New Roman" w:cs="Times New Roman"/>
          <w:sz w:val="28"/>
          <w:szCs w:val="28"/>
        </w:rPr>
        <w:t xml:space="preserve">Материалы и оборудование: определители-каталоги лишайников. </w:t>
      </w:r>
    </w:p>
    <w:p w:rsidR="00E6381C" w:rsidRDefault="00E6381C" w:rsidP="00DC30BA">
      <w:pPr>
        <w:rPr>
          <w:rFonts w:ascii="Times New Roman" w:hAnsi="Times New Roman" w:cs="Times New Roman"/>
          <w:sz w:val="28"/>
          <w:szCs w:val="28"/>
        </w:rPr>
      </w:pPr>
    </w:p>
    <w:p w:rsidR="00E6381C" w:rsidRDefault="00E6381C" w:rsidP="00DC30BA">
      <w:pPr>
        <w:rPr>
          <w:rFonts w:ascii="Times New Roman" w:hAnsi="Times New Roman" w:cs="Times New Roman"/>
          <w:sz w:val="28"/>
          <w:szCs w:val="28"/>
        </w:rPr>
      </w:pPr>
      <w:r w:rsidRPr="00E6381C">
        <w:rPr>
          <w:rFonts w:ascii="Times New Roman" w:hAnsi="Times New Roman" w:cs="Times New Roman"/>
          <w:sz w:val="28"/>
          <w:szCs w:val="28"/>
        </w:rPr>
        <w:t xml:space="preserve">Теоретические вопросы для обсуждения. 1. На чем основан принцип метода </w:t>
      </w:r>
      <w:proofErr w:type="spellStart"/>
      <w:r w:rsidRPr="00E6381C">
        <w:rPr>
          <w:rFonts w:ascii="Times New Roman" w:hAnsi="Times New Roman" w:cs="Times New Roman"/>
          <w:sz w:val="28"/>
          <w:szCs w:val="28"/>
        </w:rPr>
        <w:t>лихеноиндикации</w:t>
      </w:r>
      <w:proofErr w:type="spellEnd"/>
      <w:r w:rsidRPr="00E6381C">
        <w:rPr>
          <w:rFonts w:ascii="Times New Roman" w:hAnsi="Times New Roman" w:cs="Times New Roman"/>
          <w:sz w:val="28"/>
          <w:szCs w:val="28"/>
        </w:rPr>
        <w:t xml:space="preserve"> рекреационной нагрузки на почву? 2. Группы устойчивости индикаторных лишайников к рекреационной нагрузке. 3. Показатели антропогенной реакционной нагрузки на лишайниковый ярус. 4. Оценка видовой насыщенности. 5. Коэффициент общности по </w:t>
      </w:r>
      <w:proofErr w:type="spellStart"/>
      <w:r w:rsidRPr="00E6381C">
        <w:rPr>
          <w:rFonts w:ascii="Times New Roman" w:hAnsi="Times New Roman" w:cs="Times New Roman"/>
          <w:sz w:val="28"/>
          <w:szCs w:val="28"/>
        </w:rPr>
        <w:t>Жаккару</w:t>
      </w:r>
      <w:proofErr w:type="spellEnd"/>
      <w:r w:rsidRPr="00E6381C">
        <w:rPr>
          <w:rFonts w:ascii="Times New Roman" w:hAnsi="Times New Roman" w:cs="Times New Roman"/>
          <w:sz w:val="28"/>
          <w:szCs w:val="28"/>
        </w:rPr>
        <w:t xml:space="preserve"> и по </w:t>
      </w:r>
      <w:proofErr w:type="spellStart"/>
      <w:r w:rsidRPr="00E6381C">
        <w:rPr>
          <w:rFonts w:ascii="Times New Roman" w:hAnsi="Times New Roman" w:cs="Times New Roman"/>
          <w:sz w:val="28"/>
          <w:szCs w:val="28"/>
        </w:rPr>
        <w:t>Сенерсену</w:t>
      </w:r>
      <w:proofErr w:type="spellEnd"/>
      <w:r w:rsidRPr="00E6381C">
        <w:rPr>
          <w:rFonts w:ascii="Times New Roman" w:hAnsi="Times New Roman" w:cs="Times New Roman"/>
          <w:sz w:val="28"/>
          <w:szCs w:val="28"/>
        </w:rPr>
        <w:t xml:space="preserve">. 6. Коэффициент </w:t>
      </w:r>
      <w:proofErr w:type="spellStart"/>
      <w:r w:rsidRPr="00E6381C">
        <w:rPr>
          <w:rFonts w:ascii="Times New Roman" w:hAnsi="Times New Roman" w:cs="Times New Roman"/>
          <w:sz w:val="28"/>
          <w:szCs w:val="28"/>
        </w:rPr>
        <w:t>дифференциальности</w:t>
      </w:r>
      <w:proofErr w:type="spellEnd"/>
      <w:r w:rsidRPr="00E6381C">
        <w:rPr>
          <w:rFonts w:ascii="Times New Roman" w:hAnsi="Times New Roman" w:cs="Times New Roman"/>
          <w:sz w:val="28"/>
          <w:szCs w:val="28"/>
        </w:rPr>
        <w:t xml:space="preserve">. 7. Суммарная рекреационная нагрузка территории. </w:t>
      </w:r>
    </w:p>
    <w:p w:rsidR="00E6381C" w:rsidRDefault="00E6381C" w:rsidP="00DC30BA">
      <w:pPr>
        <w:rPr>
          <w:rFonts w:ascii="Times New Roman" w:hAnsi="Times New Roman" w:cs="Times New Roman"/>
          <w:sz w:val="28"/>
          <w:szCs w:val="28"/>
        </w:rPr>
      </w:pPr>
    </w:p>
    <w:p w:rsidR="00E6381C" w:rsidRDefault="00E6381C" w:rsidP="00DC30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работы</w:t>
      </w:r>
      <w:r w:rsidRPr="00E6381C">
        <w:rPr>
          <w:rFonts w:ascii="Times New Roman" w:hAnsi="Times New Roman" w:cs="Times New Roman"/>
          <w:sz w:val="28"/>
          <w:szCs w:val="28"/>
        </w:rPr>
        <w:t xml:space="preserve">. Задания. </w:t>
      </w:r>
    </w:p>
    <w:p w:rsidR="00E6381C" w:rsidRDefault="00E6381C" w:rsidP="00DC30BA">
      <w:pPr>
        <w:rPr>
          <w:rFonts w:ascii="Times New Roman" w:hAnsi="Times New Roman" w:cs="Times New Roman"/>
          <w:sz w:val="28"/>
          <w:szCs w:val="28"/>
        </w:rPr>
      </w:pPr>
      <w:r w:rsidRPr="00E6381C">
        <w:rPr>
          <w:rFonts w:ascii="Times New Roman" w:hAnsi="Times New Roman" w:cs="Times New Roman"/>
          <w:sz w:val="28"/>
          <w:szCs w:val="28"/>
        </w:rPr>
        <w:t xml:space="preserve">1. Получить у преподавателя задание на карточке. </w:t>
      </w:r>
    </w:p>
    <w:p w:rsidR="00E6381C" w:rsidRDefault="00E6381C" w:rsidP="00DC30BA">
      <w:pPr>
        <w:rPr>
          <w:rFonts w:ascii="Times New Roman" w:hAnsi="Times New Roman" w:cs="Times New Roman"/>
          <w:sz w:val="28"/>
          <w:szCs w:val="28"/>
        </w:rPr>
      </w:pPr>
      <w:r w:rsidRPr="00E6381C">
        <w:rPr>
          <w:rFonts w:ascii="Times New Roman" w:hAnsi="Times New Roman" w:cs="Times New Roman"/>
          <w:sz w:val="28"/>
          <w:szCs w:val="28"/>
        </w:rPr>
        <w:t xml:space="preserve">2. Дать родовое и видовое название лишайников, указанных в карточке. </w:t>
      </w:r>
    </w:p>
    <w:p w:rsidR="00E6381C" w:rsidRDefault="00E6381C" w:rsidP="00DC30BA">
      <w:pPr>
        <w:rPr>
          <w:rFonts w:ascii="Times New Roman" w:hAnsi="Times New Roman" w:cs="Times New Roman"/>
          <w:sz w:val="28"/>
          <w:szCs w:val="28"/>
        </w:rPr>
      </w:pPr>
      <w:r w:rsidRPr="00E6381C">
        <w:rPr>
          <w:rFonts w:ascii="Times New Roman" w:hAnsi="Times New Roman" w:cs="Times New Roman"/>
          <w:sz w:val="28"/>
          <w:szCs w:val="28"/>
        </w:rPr>
        <w:t xml:space="preserve">3. Используя таблицу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6381C">
        <w:rPr>
          <w:rFonts w:ascii="Times New Roman" w:hAnsi="Times New Roman" w:cs="Times New Roman"/>
          <w:sz w:val="28"/>
          <w:szCs w:val="28"/>
        </w:rPr>
        <w:t xml:space="preserve"> выявить индикаторные виды, характеризующие разную степень рекреационной нагрузки. 4. Сравнить видовой состав двух пробных площадок, указанных на карточке, с помощью коэффициентов сходства и различия. 5. Рассчитать суммарную степень реакционной нагрузки на почву площадок. 6. Составить отчет с указанием родовых и видовых названий индикаторов, указанных в карточке. Определить их индикаторную значимость. Привести оценку сходства и различия пробных площадок по видовому разнообразию присутствующих на них лишайников. Оценить суммарную рекреационную нагрузку на исследуемую территорию. </w:t>
      </w:r>
    </w:p>
    <w:p w:rsidR="0027271B" w:rsidRDefault="00E6381C" w:rsidP="00DC30BA">
      <w:pPr>
        <w:rPr>
          <w:rFonts w:ascii="Times New Roman" w:hAnsi="Times New Roman" w:cs="Times New Roman"/>
          <w:sz w:val="28"/>
          <w:szCs w:val="28"/>
        </w:rPr>
      </w:pPr>
      <w:r w:rsidRPr="00E6381C">
        <w:rPr>
          <w:rFonts w:ascii="Times New Roman" w:hAnsi="Times New Roman" w:cs="Times New Roman"/>
          <w:sz w:val="28"/>
          <w:szCs w:val="28"/>
        </w:rPr>
        <w:t xml:space="preserve">Таблица 1. Группы устойчивости индикаторных лишайников к рекреационной нагрузке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2"/>
        <w:gridCol w:w="4154"/>
        <w:gridCol w:w="4139"/>
      </w:tblGrid>
      <w:tr w:rsidR="0027271B" w:rsidRPr="0027271B" w:rsidTr="002727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572" w:type="pct"/>
            <w:shd w:val="clear" w:color="auto" w:fill="FFFFFF"/>
          </w:tcPr>
          <w:p w:rsidR="0027271B" w:rsidRPr="0027271B" w:rsidRDefault="0027271B" w:rsidP="0027271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2218" w:type="pct"/>
            <w:shd w:val="clear" w:color="auto" w:fill="FFFFFF"/>
          </w:tcPr>
          <w:p w:rsidR="0027271B" w:rsidRPr="0027271B" w:rsidRDefault="0027271B" w:rsidP="0027271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Степень устойчивости</w:t>
            </w:r>
          </w:p>
        </w:tc>
        <w:tc>
          <w:tcPr>
            <w:tcW w:w="2210" w:type="pct"/>
            <w:shd w:val="clear" w:color="auto" w:fill="FFFFFF"/>
          </w:tcPr>
          <w:p w:rsidR="0027271B" w:rsidRPr="0027271B" w:rsidRDefault="0027271B" w:rsidP="0027271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лишайников</w:t>
            </w:r>
          </w:p>
        </w:tc>
      </w:tr>
      <w:tr w:rsidR="0027271B" w:rsidRPr="0027271B" w:rsidTr="002727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/>
        </w:trPr>
        <w:tc>
          <w:tcPr>
            <w:tcW w:w="572" w:type="pct"/>
            <w:shd w:val="clear" w:color="auto" w:fill="FFFFFF"/>
          </w:tcPr>
          <w:p w:rsidR="0027271B" w:rsidRPr="0027271B" w:rsidRDefault="0027271B" w:rsidP="0027271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18" w:type="pct"/>
            <w:shd w:val="clear" w:color="auto" w:fill="FFFFFF"/>
          </w:tcPr>
          <w:p w:rsidR="0027271B" w:rsidRPr="0027271B" w:rsidRDefault="0027271B" w:rsidP="0027271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Слабоустойчивые</w:t>
            </w:r>
          </w:p>
        </w:tc>
        <w:tc>
          <w:tcPr>
            <w:tcW w:w="2210" w:type="pct"/>
            <w:shd w:val="clear" w:color="auto" w:fill="FFFFFF"/>
          </w:tcPr>
          <w:p w:rsidR="0027271B" w:rsidRPr="0027271B" w:rsidRDefault="0027271B" w:rsidP="0027271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Cladina</w:t>
            </w:r>
            <w:proofErr w:type="spellEnd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stellaria</w:t>
            </w:r>
            <w:proofErr w:type="spellEnd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br/>
            </w: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. </w:t>
            </w:r>
            <w:proofErr w:type="spellStart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arbuscula</w:t>
            </w:r>
            <w:proofErr w:type="spellEnd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</w:p>
          <w:p w:rsidR="0027271B" w:rsidRPr="0027271B" w:rsidRDefault="0027271B" w:rsidP="0027271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. </w:t>
            </w:r>
            <w:proofErr w:type="spellStart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rangiferina</w:t>
            </w:r>
            <w:proofErr w:type="spellEnd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br/>
            </w: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. </w:t>
            </w: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sp.</w:t>
            </w:r>
          </w:p>
        </w:tc>
      </w:tr>
      <w:tr w:rsidR="0027271B" w:rsidRPr="0027271B" w:rsidTr="002727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"/>
        </w:trPr>
        <w:tc>
          <w:tcPr>
            <w:tcW w:w="572" w:type="pct"/>
            <w:shd w:val="clear" w:color="auto" w:fill="FFFFFF"/>
          </w:tcPr>
          <w:p w:rsidR="0027271B" w:rsidRPr="0027271B" w:rsidRDefault="0027271B" w:rsidP="0027271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18" w:type="pct"/>
            <w:shd w:val="clear" w:color="auto" w:fill="FFFFFF"/>
          </w:tcPr>
          <w:p w:rsidR="0027271B" w:rsidRPr="0027271B" w:rsidRDefault="0027271B" w:rsidP="0027271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Среднеустойчивые</w:t>
            </w:r>
          </w:p>
        </w:tc>
        <w:tc>
          <w:tcPr>
            <w:tcW w:w="2210" w:type="pct"/>
            <w:shd w:val="clear" w:color="auto" w:fill="FFFFFF"/>
          </w:tcPr>
          <w:p w:rsidR="0027271B" w:rsidRPr="0027271B" w:rsidRDefault="0027271B" w:rsidP="0027271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Cladonia</w:t>
            </w:r>
            <w:proofErr w:type="spellEnd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unsialis</w:t>
            </w:r>
            <w:proofErr w:type="spellEnd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br/>
            </w: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. </w:t>
            </w:r>
            <w:proofErr w:type="spellStart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glasilis</w:t>
            </w:r>
            <w:proofErr w:type="spellEnd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</w:p>
          <w:p w:rsidR="0027271B" w:rsidRPr="0027271B" w:rsidRDefault="0027271B" w:rsidP="0027271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. </w:t>
            </w: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crispate,</w:t>
            </w:r>
          </w:p>
          <w:p w:rsidR="0027271B" w:rsidRPr="0027271B" w:rsidRDefault="0027271B" w:rsidP="0027271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С. </w:t>
            </w: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sp.</w:t>
            </w:r>
          </w:p>
        </w:tc>
      </w:tr>
      <w:tr w:rsidR="0027271B" w:rsidRPr="0027271B" w:rsidTr="002727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/>
        </w:trPr>
        <w:tc>
          <w:tcPr>
            <w:tcW w:w="572" w:type="pct"/>
            <w:shd w:val="clear" w:color="auto" w:fill="FFFFFF"/>
          </w:tcPr>
          <w:p w:rsidR="0027271B" w:rsidRPr="0027271B" w:rsidRDefault="0027271B" w:rsidP="0027271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218" w:type="pct"/>
            <w:shd w:val="clear" w:color="auto" w:fill="FFFFFF"/>
          </w:tcPr>
          <w:p w:rsidR="0027271B" w:rsidRPr="0027271B" w:rsidRDefault="0027271B" w:rsidP="0027271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Сильноустойчивые</w:t>
            </w:r>
            <w:proofErr w:type="spellEnd"/>
          </w:p>
        </w:tc>
        <w:tc>
          <w:tcPr>
            <w:tcW w:w="2210" w:type="pct"/>
            <w:shd w:val="clear" w:color="auto" w:fill="FFFFFF"/>
          </w:tcPr>
          <w:p w:rsidR="0027271B" w:rsidRPr="0027271B" w:rsidRDefault="0027271B" w:rsidP="0027271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Cetraria</w:t>
            </w:r>
            <w:proofErr w:type="spellEnd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islandica</w:t>
            </w:r>
            <w:proofErr w:type="spellEnd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br/>
              <w:t>C. sp.,</w:t>
            </w: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br/>
            </w:r>
            <w:proofErr w:type="spellStart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Peltigera</w:t>
            </w:r>
            <w:proofErr w:type="spellEnd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canina</w:t>
            </w:r>
            <w:proofErr w:type="spellEnd"/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272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br/>
              <w:t>P. sp.</w:t>
            </w:r>
          </w:p>
        </w:tc>
      </w:tr>
      <w:tr w:rsidR="0027271B" w:rsidRPr="0027271B" w:rsidTr="002727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572" w:type="pct"/>
            <w:shd w:val="clear" w:color="auto" w:fill="FFFFFF"/>
          </w:tcPr>
          <w:p w:rsidR="0027271B" w:rsidRPr="0027271B" w:rsidRDefault="0027271B" w:rsidP="0027271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218" w:type="pct"/>
            <w:shd w:val="clear" w:color="auto" w:fill="FFFFFF"/>
          </w:tcPr>
          <w:p w:rsidR="0027271B" w:rsidRPr="0027271B" w:rsidRDefault="0027271B" w:rsidP="0027271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210" w:type="pct"/>
            <w:shd w:val="clear" w:color="auto" w:fill="FFFFFF"/>
          </w:tcPr>
          <w:p w:rsidR="0027271B" w:rsidRPr="0027271B" w:rsidRDefault="0027271B" w:rsidP="0027271B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</w:tbl>
    <w:p w:rsidR="0027271B" w:rsidRPr="0027271B" w:rsidRDefault="0027271B" w:rsidP="00DC30B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7271B" w:rsidRDefault="00E6381C" w:rsidP="00DC30BA">
      <w:pPr>
        <w:rPr>
          <w:rFonts w:ascii="Times New Roman" w:hAnsi="Times New Roman" w:cs="Times New Roman"/>
          <w:sz w:val="28"/>
          <w:szCs w:val="28"/>
        </w:rPr>
      </w:pPr>
      <w:r w:rsidRPr="00E6381C">
        <w:rPr>
          <w:rFonts w:ascii="Times New Roman" w:hAnsi="Times New Roman" w:cs="Times New Roman"/>
          <w:sz w:val="28"/>
          <w:szCs w:val="28"/>
        </w:rPr>
        <w:t>Формулы:</w:t>
      </w:r>
    </w:p>
    <w:p w:rsidR="0027271B" w:rsidRDefault="0027271B" w:rsidP="00DC30BA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B3631EA" wp14:editId="0AED5B61">
            <wp:extent cx="5940425" cy="2056372"/>
            <wp:effectExtent l="0" t="0" r="317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56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0BA" w:rsidRPr="00E6381C" w:rsidRDefault="00E6381C" w:rsidP="00DC30BA">
      <w:pPr>
        <w:rPr>
          <w:rFonts w:ascii="Times New Roman" w:hAnsi="Times New Roman" w:cs="Times New Roman"/>
          <w:b/>
          <w:sz w:val="28"/>
          <w:szCs w:val="28"/>
        </w:rPr>
      </w:pPr>
      <w:r w:rsidRPr="00E6381C">
        <w:rPr>
          <w:rFonts w:ascii="Times New Roman" w:hAnsi="Times New Roman" w:cs="Times New Roman"/>
          <w:sz w:val="28"/>
          <w:szCs w:val="28"/>
        </w:rPr>
        <w:t>, где a – число видов лишайников, встречающихся только на первой площадке; b – число видов лишайников, встречающихся только на второй площадке; c – число видов лишайников, общих для обеих площадок.</w:t>
      </w:r>
    </w:p>
    <w:p w:rsidR="00DC30BA" w:rsidRPr="00E6381C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</w:p>
    <w:p w:rsidR="00DC30BA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C30BA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  <w:r w:rsidRPr="00DC30BA"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Определение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сапробности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водоемов</w:t>
      </w:r>
    </w:p>
    <w:p w:rsid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по индикационным видам определить супоросность водоемов предложенных в задании</w:t>
      </w:r>
    </w:p>
    <w:p w:rsid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0BA" w:rsidRPr="00DC30BA" w:rsidRDefault="00DC30BA" w:rsidP="00DC30BA">
      <w:pPr>
        <w:jc w:val="center"/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Теоретический материал</w:t>
      </w:r>
    </w:p>
    <w:p w:rsidR="00DC30BA" w:rsidRPr="00DC30BA" w:rsidRDefault="00DC30BA" w:rsidP="00DC30BA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</w:t>
      </w:r>
      <w:proofErr w:type="spellStart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сапробностью</w:t>
      </w:r>
      <w:proofErr w:type="spellEnd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понимать степень распада органических веществ в загрязненных водоемах. Сапробионты, или са</w:t>
      </w:r>
      <w:proofErr w:type="gramStart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п-</w:t>
      </w:r>
      <w:proofErr w:type="gramEnd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робные</w:t>
      </w:r>
      <w:proofErr w:type="spellEnd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организмы могут служить индикаторами загрязнения или различных степеней разложения органических веществ в водоеме.</w:t>
      </w:r>
    </w:p>
    <w:p w:rsidR="00DC30BA" w:rsidRPr="00DC30BA" w:rsidRDefault="00DC30BA" w:rsidP="00DC30BA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Распад органики в водоеме приводит к дефициту кислорода и накоплению ядовитых продуктов (углекислоты, сероводорода, органических кислот и др.). Способность организмов обитать в условиях разной степени </w:t>
      </w:r>
      <w:proofErr w:type="spellStart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сапробности</w:t>
      </w:r>
      <w:proofErr w:type="spellEnd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объясняется потребностью в органическом питании, устойчивостью к дефициту кислорода и выносливостью к вредным веществам, образующимся в процессе разложения органического вещества (табл. 6.1). </w:t>
      </w:r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Принцип метода </w:t>
      </w:r>
      <w:proofErr w:type="spellStart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сапробных</w:t>
      </w:r>
      <w:proofErr w:type="spellEnd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индикаторов основан на взаимосвязи организмов со средой обитания. Понятие </w:t>
      </w:r>
      <w:proofErr w:type="spellStart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сапробности</w:t>
      </w:r>
      <w:proofErr w:type="spellEnd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одной стороны, приближается к значению </w:t>
      </w:r>
      <w:proofErr w:type="spellStart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эвтрофикации</w:t>
      </w:r>
      <w:proofErr w:type="spellEnd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как включает трофическую характеристику, а с другой стороны, са</w:t>
      </w:r>
      <w:proofErr w:type="gramStart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>п-</w:t>
      </w:r>
      <w:proofErr w:type="gramEnd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робность</w:t>
      </w:r>
      <w:proofErr w:type="spellEnd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близка к токсичности или загрязненности, поскольку характеризует действие в среде отрицательных факторов (дефицит или отсутствие кислорода, продукты разложения органики и т.д.). Таким образом, понятие </w:t>
      </w:r>
      <w:proofErr w:type="spellStart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сапробности</w:t>
      </w:r>
      <w:proofErr w:type="spellEnd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приобретает значение характеристики качества воды. </w:t>
      </w:r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Организмы водоема относятся к планктону и бентосу, ряд из них составляет перифитон (обрастания). В планктон включают те </w:t>
      </w:r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Таблица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характеристики зон </w:t>
      </w:r>
      <w:proofErr w:type="spellStart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сапробности</w:t>
      </w:r>
      <w:proofErr w:type="spellEnd"/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C30B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1"/>
        <w:gridCol w:w="433"/>
        <w:gridCol w:w="2537"/>
        <w:gridCol w:w="956"/>
        <w:gridCol w:w="2068"/>
      </w:tblGrid>
      <w:tr w:rsidR="00DC30BA" w:rsidRPr="00DC30BA" w:rsidTr="00DC30BA">
        <w:tc>
          <w:tcPr>
            <w:tcW w:w="2190" w:type="pct"/>
            <w:gridSpan w:val="2"/>
            <w:tcBorders>
              <w:top w:val="single" w:sz="6" w:space="0" w:color="E5E5E5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Показатель</w:t>
            </w:r>
          </w:p>
        </w:tc>
        <w:tc>
          <w:tcPr>
            <w:tcW w:w="1282" w:type="pct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Полисапробные</w:t>
            </w:r>
          </w:p>
        </w:tc>
        <w:tc>
          <w:tcPr>
            <w:tcW w:w="1528" w:type="pct"/>
            <w:gridSpan w:val="2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</w:r>
            <w:proofErr w:type="spellStart"/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Атьфа-мезосапробные</w:t>
            </w:r>
            <w:proofErr w:type="spellEnd"/>
          </w:p>
        </w:tc>
      </w:tr>
      <w:tr w:rsidR="00DC30BA" w:rsidRPr="00DC30BA" w:rsidTr="00DC30BA">
        <w:tc>
          <w:tcPr>
            <w:tcW w:w="2190" w:type="pct"/>
            <w:gridSpan w:val="2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Кислородные условия</w:t>
            </w:r>
          </w:p>
        </w:tc>
        <w:tc>
          <w:tcPr>
            <w:tcW w:w="1282" w:type="pc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Анаэробные</w:t>
            </w:r>
          </w:p>
        </w:tc>
        <w:tc>
          <w:tcPr>
            <w:tcW w:w="1528" w:type="pct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</w:r>
            <w:proofErr w:type="spellStart"/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Полуанаэробные</w:t>
            </w:r>
            <w:proofErr w:type="spellEnd"/>
          </w:p>
        </w:tc>
      </w:tr>
      <w:tr w:rsidR="00DC30BA" w:rsidRPr="00DC30BA" w:rsidTr="00DC30BA">
        <w:tc>
          <w:tcPr>
            <w:tcW w:w="2190" w:type="pct"/>
            <w:gridSpan w:val="2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Азотистые соединения</w:t>
            </w:r>
          </w:p>
        </w:tc>
        <w:tc>
          <w:tcPr>
            <w:tcW w:w="1282" w:type="pc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Белковые вещества</w:t>
            </w:r>
          </w:p>
        </w:tc>
        <w:tc>
          <w:tcPr>
            <w:tcW w:w="1528" w:type="pct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Аммиак, </w:t>
            </w: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аминокислоты</w:t>
            </w:r>
          </w:p>
        </w:tc>
      </w:tr>
      <w:tr w:rsidR="00DC30BA" w:rsidRPr="00DC30BA" w:rsidTr="00DC30BA">
        <w:tc>
          <w:tcPr>
            <w:tcW w:w="2190" w:type="pct"/>
            <w:gridSpan w:val="2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Сероводород</w:t>
            </w:r>
          </w:p>
        </w:tc>
        <w:tc>
          <w:tcPr>
            <w:tcW w:w="1282" w:type="pc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Много</w:t>
            </w:r>
          </w:p>
        </w:tc>
        <w:tc>
          <w:tcPr>
            <w:tcW w:w="1528" w:type="pct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Достаточно много</w:t>
            </w:r>
          </w:p>
        </w:tc>
      </w:tr>
      <w:tr w:rsidR="00DC30BA" w:rsidRPr="00DC30BA" w:rsidTr="00DC30BA">
        <w:tc>
          <w:tcPr>
            <w:tcW w:w="2190" w:type="pct"/>
            <w:gridSpan w:val="2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</w:r>
            <w:proofErr w:type="spellStart"/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Загниваемосгь</w:t>
            </w:r>
            <w:proofErr w:type="spellEnd"/>
          </w:p>
        </w:tc>
        <w:tc>
          <w:tcPr>
            <w:tcW w:w="1282" w:type="pc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Загнивает</w:t>
            </w:r>
          </w:p>
        </w:tc>
        <w:tc>
          <w:tcPr>
            <w:tcW w:w="1528" w:type="pct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Загнивает</w:t>
            </w:r>
          </w:p>
        </w:tc>
      </w:tr>
      <w:tr w:rsidR="00DC30BA" w:rsidRPr="00DC30BA" w:rsidTr="00DC30BA">
        <w:tc>
          <w:tcPr>
            <w:tcW w:w="2190" w:type="pct"/>
            <w:gridSpan w:val="2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Бактерий в 1 мл воды</w:t>
            </w:r>
          </w:p>
        </w:tc>
        <w:tc>
          <w:tcPr>
            <w:tcW w:w="1282" w:type="pc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109</w:t>
            </w:r>
          </w:p>
        </w:tc>
        <w:tc>
          <w:tcPr>
            <w:tcW w:w="1528" w:type="pct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106</w:t>
            </w:r>
          </w:p>
        </w:tc>
      </w:tr>
      <w:tr w:rsidR="00DC30BA" w:rsidRPr="00DC30BA" w:rsidTr="00DC30BA">
        <w:tc>
          <w:tcPr>
            <w:tcW w:w="2190" w:type="pct"/>
            <w:gridSpan w:val="2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Преобладание отдельных видов</w:t>
            </w:r>
          </w:p>
        </w:tc>
        <w:tc>
          <w:tcPr>
            <w:tcW w:w="1282" w:type="pc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Очень сильное</w:t>
            </w:r>
          </w:p>
        </w:tc>
        <w:tc>
          <w:tcPr>
            <w:tcW w:w="1528" w:type="pct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Небольшое</w:t>
            </w:r>
          </w:p>
        </w:tc>
      </w:tr>
      <w:tr w:rsidR="00DC30BA" w:rsidRPr="00DC30BA" w:rsidTr="00DC30BA">
        <w:tc>
          <w:tcPr>
            <w:tcW w:w="2190" w:type="pct"/>
            <w:gridSpan w:val="2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Разнообразие видов</w:t>
            </w:r>
          </w:p>
        </w:tc>
        <w:tc>
          <w:tcPr>
            <w:tcW w:w="1282" w:type="pc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Очень малое</w:t>
            </w:r>
          </w:p>
        </w:tc>
        <w:tc>
          <w:tcPr>
            <w:tcW w:w="1528" w:type="pct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Небольшое</w:t>
            </w:r>
          </w:p>
        </w:tc>
      </w:tr>
      <w:tr w:rsidR="00DC30BA" w:rsidRPr="00DC30BA" w:rsidTr="00DC30BA">
        <w:tc>
          <w:tcPr>
            <w:tcW w:w="2190" w:type="pct"/>
            <w:gridSpan w:val="2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Смена сообществ</w:t>
            </w:r>
          </w:p>
        </w:tc>
        <w:tc>
          <w:tcPr>
            <w:tcW w:w="1282" w:type="pc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Катастрофическая</w:t>
            </w:r>
          </w:p>
        </w:tc>
        <w:tc>
          <w:tcPr>
            <w:tcW w:w="1528" w:type="pct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Часто катастрофическая</w:t>
            </w:r>
          </w:p>
        </w:tc>
      </w:tr>
      <w:tr w:rsidR="00DC30BA" w:rsidRPr="00DC30BA" w:rsidTr="00DC30BA">
        <w:tc>
          <w:tcPr>
            <w:tcW w:w="2190" w:type="pct"/>
            <w:gridSpan w:val="2"/>
            <w:tcBorders>
              <w:top w:val="single" w:sz="6" w:space="0" w:color="EEEEEE"/>
              <w:left w:val="single" w:sz="6" w:space="0" w:color="E5E5E5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lastRenderedPageBreak/>
              <w:br/>
              <w:t>Потребность организмов в кислороде</w:t>
            </w:r>
          </w:p>
        </w:tc>
        <w:tc>
          <w:tcPr>
            <w:tcW w:w="1282" w:type="pct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Ничтожная</w:t>
            </w:r>
          </w:p>
        </w:tc>
        <w:tc>
          <w:tcPr>
            <w:tcW w:w="1528" w:type="pct"/>
            <w:gridSpan w:val="2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Слабая</w:t>
            </w:r>
          </w:p>
        </w:tc>
      </w:tr>
      <w:tr w:rsidR="00DC30BA" w:rsidRPr="00DC30BA" w:rsidTr="00DC30BA">
        <w:tc>
          <w:tcPr>
            <w:tcW w:w="1971" w:type="pct"/>
            <w:tcBorders>
              <w:top w:val="single" w:sz="6" w:space="0" w:color="E5E5E5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Показатель</w:t>
            </w:r>
          </w:p>
        </w:tc>
        <w:tc>
          <w:tcPr>
            <w:tcW w:w="1984" w:type="pct"/>
            <w:gridSpan w:val="3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Бета-</w:t>
            </w:r>
            <w:proofErr w:type="spellStart"/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мезосапробные</w:t>
            </w:r>
            <w:proofErr w:type="spellEnd"/>
          </w:p>
        </w:tc>
        <w:tc>
          <w:tcPr>
            <w:tcW w:w="1045" w:type="pct"/>
            <w:tcBorders>
              <w:top w:val="single" w:sz="6" w:space="0" w:color="E5E5E5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AFAFA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Олигосапробные</w:t>
            </w:r>
          </w:p>
        </w:tc>
      </w:tr>
      <w:tr w:rsidR="00DC30BA" w:rsidRPr="00DC30BA" w:rsidTr="00DC30BA">
        <w:tc>
          <w:tcPr>
            <w:tcW w:w="1971" w:type="pct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Кислородные условия</w:t>
            </w:r>
          </w:p>
        </w:tc>
        <w:tc>
          <w:tcPr>
            <w:tcW w:w="1984" w:type="pct"/>
            <w:gridSpan w:val="3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Аэробные</w:t>
            </w:r>
          </w:p>
        </w:tc>
        <w:tc>
          <w:tcPr>
            <w:tcW w:w="1045" w:type="pc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Аэробные</w:t>
            </w:r>
          </w:p>
        </w:tc>
      </w:tr>
      <w:tr w:rsidR="00DC30BA" w:rsidRPr="00DC30BA" w:rsidTr="00DC30BA">
        <w:tc>
          <w:tcPr>
            <w:tcW w:w="1971" w:type="pct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Азотистые соединения</w:t>
            </w:r>
          </w:p>
        </w:tc>
        <w:tc>
          <w:tcPr>
            <w:tcW w:w="1984" w:type="pct"/>
            <w:gridSpan w:val="3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Аммонийные соли, нитраты, нитриты</w:t>
            </w:r>
          </w:p>
        </w:tc>
        <w:tc>
          <w:tcPr>
            <w:tcW w:w="1045" w:type="pc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Нитраты</w:t>
            </w:r>
          </w:p>
        </w:tc>
      </w:tr>
      <w:tr w:rsidR="00DC30BA" w:rsidRPr="00DC30BA" w:rsidTr="00DC30BA">
        <w:tc>
          <w:tcPr>
            <w:tcW w:w="1971" w:type="pct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Сероводород</w:t>
            </w:r>
          </w:p>
        </w:tc>
        <w:tc>
          <w:tcPr>
            <w:tcW w:w="1984" w:type="pct"/>
            <w:gridSpan w:val="3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Мало</w:t>
            </w:r>
          </w:p>
        </w:tc>
        <w:tc>
          <w:tcPr>
            <w:tcW w:w="1045" w:type="pc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Нет</w:t>
            </w:r>
          </w:p>
        </w:tc>
      </w:tr>
      <w:tr w:rsidR="00DC30BA" w:rsidRPr="00DC30BA" w:rsidTr="00DC30BA">
        <w:tc>
          <w:tcPr>
            <w:tcW w:w="1971" w:type="pct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</w:r>
            <w:proofErr w:type="spellStart"/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t>Загниваемосгь</w:t>
            </w:r>
            <w:proofErr w:type="spellEnd"/>
          </w:p>
        </w:tc>
        <w:tc>
          <w:tcPr>
            <w:tcW w:w="1984" w:type="pct"/>
            <w:gridSpan w:val="3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Не загнивает</w:t>
            </w:r>
          </w:p>
        </w:tc>
        <w:tc>
          <w:tcPr>
            <w:tcW w:w="1045" w:type="pc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Не загнивает</w:t>
            </w:r>
          </w:p>
        </w:tc>
      </w:tr>
      <w:tr w:rsidR="00DC30BA" w:rsidRPr="00DC30BA" w:rsidTr="00DC30BA">
        <w:tc>
          <w:tcPr>
            <w:tcW w:w="1971" w:type="pct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Бактерий в 1 мл воды</w:t>
            </w:r>
          </w:p>
        </w:tc>
        <w:tc>
          <w:tcPr>
            <w:tcW w:w="1984" w:type="pct"/>
            <w:gridSpan w:val="3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105</w:t>
            </w:r>
          </w:p>
        </w:tc>
        <w:tc>
          <w:tcPr>
            <w:tcW w:w="1045" w:type="pc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О </w:t>
            </w: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7 </w:t>
            </w: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о</w:t>
            </w:r>
          </w:p>
        </w:tc>
      </w:tr>
      <w:tr w:rsidR="00DC30BA" w:rsidRPr="00DC30BA" w:rsidTr="00DC30BA">
        <w:tc>
          <w:tcPr>
            <w:tcW w:w="1971" w:type="pct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Преобладание отдельных видов</w:t>
            </w:r>
          </w:p>
        </w:tc>
        <w:tc>
          <w:tcPr>
            <w:tcW w:w="1984" w:type="pct"/>
            <w:gridSpan w:val="3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Значительное</w:t>
            </w:r>
          </w:p>
        </w:tc>
        <w:tc>
          <w:tcPr>
            <w:tcW w:w="1045" w:type="pc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Очень большое</w:t>
            </w:r>
          </w:p>
        </w:tc>
      </w:tr>
      <w:tr w:rsidR="00DC30BA" w:rsidRPr="00DC30BA" w:rsidTr="00DC30BA">
        <w:tc>
          <w:tcPr>
            <w:tcW w:w="1971" w:type="pct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Разнообразие видов</w:t>
            </w:r>
          </w:p>
        </w:tc>
        <w:tc>
          <w:tcPr>
            <w:tcW w:w="1984" w:type="pct"/>
            <w:gridSpan w:val="3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Значительное</w:t>
            </w:r>
          </w:p>
        </w:tc>
        <w:tc>
          <w:tcPr>
            <w:tcW w:w="1045" w:type="pc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Очень большое</w:t>
            </w:r>
          </w:p>
        </w:tc>
      </w:tr>
      <w:tr w:rsidR="00DC30BA" w:rsidRPr="00DC30BA" w:rsidTr="00DC30BA">
        <w:tc>
          <w:tcPr>
            <w:tcW w:w="1971" w:type="pct"/>
            <w:tcBorders>
              <w:top w:val="single" w:sz="6" w:space="0" w:color="EEEEEE"/>
              <w:left w:val="single" w:sz="6" w:space="0" w:color="E5E5E5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Смена сообществ</w:t>
            </w:r>
          </w:p>
        </w:tc>
        <w:tc>
          <w:tcPr>
            <w:tcW w:w="1984" w:type="pct"/>
            <w:gridSpan w:val="3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Довольно медленная</w:t>
            </w:r>
          </w:p>
        </w:tc>
        <w:tc>
          <w:tcPr>
            <w:tcW w:w="1045" w:type="pct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Медленная</w:t>
            </w:r>
          </w:p>
        </w:tc>
      </w:tr>
      <w:tr w:rsidR="00DC30BA" w:rsidRPr="00DC30BA" w:rsidTr="00DC30BA">
        <w:tc>
          <w:tcPr>
            <w:tcW w:w="1971" w:type="pct"/>
            <w:tcBorders>
              <w:top w:val="single" w:sz="6" w:space="0" w:color="EEEEEE"/>
              <w:left w:val="single" w:sz="6" w:space="0" w:color="E5E5E5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Потребность организмов в кислороде</w:t>
            </w:r>
          </w:p>
        </w:tc>
        <w:tc>
          <w:tcPr>
            <w:tcW w:w="1984" w:type="pct"/>
            <w:gridSpan w:val="3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EEE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Большая</w:t>
            </w:r>
          </w:p>
        </w:tc>
        <w:tc>
          <w:tcPr>
            <w:tcW w:w="1045" w:type="pct"/>
            <w:tcBorders>
              <w:top w:val="single" w:sz="6" w:space="0" w:color="EEEEEE"/>
              <w:left w:val="single" w:sz="6" w:space="0" w:color="EEEEEE"/>
              <w:bottom w:val="single" w:sz="6" w:space="0" w:color="E5E5E5"/>
              <w:right w:val="single" w:sz="6" w:space="0" w:color="E5E5E5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DC30BA" w:rsidRPr="00DC30BA" w:rsidRDefault="00DC30BA" w:rsidP="00DC30BA">
            <w:pPr>
              <w:spacing w:line="360" w:lineRule="atLeast"/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</w:pPr>
            <w:r w:rsidRPr="00DC30BA">
              <w:rPr>
                <w:rFonts w:ascii="inherit" w:eastAsia="Times New Roman" w:hAnsi="inherit" w:cs="Arial"/>
                <w:color w:val="212121"/>
                <w:sz w:val="20"/>
                <w:szCs w:val="20"/>
                <w:lang w:eastAsia="ru-RU"/>
              </w:rPr>
              <w:br/>
              <w:t>Очень большая</w:t>
            </w:r>
          </w:p>
        </w:tc>
      </w:tr>
    </w:tbl>
    <w:p w:rsidR="00DC30BA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</w:p>
    <w:p w:rsidR="00DC30BA" w:rsidRDefault="00DC30BA" w:rsidP="00DC30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работы</w:t>
      </w:r>
    </w:p>
    <w:p w:rsidR="00DC30BA" w:rsidRDefault="00DC30BA" w:rsidP="00DC30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0BA" w:rsidRDefault="00DC30BA" w:rsidP="00DC30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30BA">
        <w:rPr>
          <w:rFonts w:ascii="Times New Roman" w:hAnsi="Times New Roman" w:cs="Times New Roman"/>
          <w:sz w:val="28"/>
          <w:szCs w:val="28"/>
        </w:rPr>
        <w:lastRenderedPageBreak/>
        <w:t xml:space="preserve">Используя </w:t>
      </w:r>
      <w:r>
        <w:rPr>
          <w:rFonts w:ascii="Times New Roman" w:hAnsi="Times New Roman" w:cs="Times New Roman"/>
          <w:sz w:val="28"/>
          <w:szCs w:val="28"/>
        </w:rPr>
        <w:t>данные по представленным водоемам выполните следующие задание</w:t>
      </w:r>
      <w:proofErr w:type="gramEnd"/>
    </w:p>
    <w:p w:rsidR="00DC30BA" w:rsidRDefault="00DC30BA" w:rsidP="00DC30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Выпишите количество видов индикаторов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сапробности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указанием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сапробилогичского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индекса и частоты встречаемости.</w:t>
      </w:r>
    </w:p>
    <w:p w:rsidR="00DC30BA" w:rsidRDefault="00DC30BA" w:rsidP="00DC30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формулу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рассчитайте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сапробиологичский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индекс конкретного водоема.</w:t>
      </w:r>
    </w:p>
    <w:p w:rsidR="00DC30BA" w:rsidRPr="00DC30BA" w:rsidRDefault="00DC30BA" w:rsidP="00DC30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Сделайте вывод относительно его органического загрязнения. </w:t>
      </w:r>
    </w:p>
    <w:p w:rsidR="00DC30BA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</w:p>
    <w:p w:rsidR="00DC30BA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  <w:r w:rsidRPr="00DC30BA"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№ </w:t>
      </w:r>
      <w:r w:rsidRPr="00DC30BA">
        <w:rPr>
          <w:rFonts w:ascii="Times New Roman" w:hAnsi="Times New Roman" w:cs="Times New Roman"/>
          <w:b/>
          <w:sz w:val="28"/>
          <w:szCs w:val="28"/>
        </w:rPr>
        <w:t>3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Определение содержания в воде нитратов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DC30BA">
        <w:rPr>
          <w:rFonts w:ascii="Times New Roman" w:hAnsi="Times New Roman" w:cs="Times New Roman"/>
          <w:sz w:val="28"/>
          <w:szCs w:val="28"/>
        </w:rPr>
        <w:t>научится,</w:t>
      </w:r>
      <w:r w:rsidRPr="00DC30BA">
        <w:rPr>
          <w:rFonts w:ascii="Times New Roman" w:hAnsi="Times New Roman" w:cs="Times New Roman"/>
          <w:sz w:val="28"/>
          <w:szCs w:val="28"/>
        </w:rPr>
        <w:t xml:space="preserve"> используя методики определять содержание нитратов в воде.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Оборудование, растворы, материалы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Баня водяная, ножницы, палочка стеклянная, пипетка на 2 мл или на 5 мл с резиновой грушей и соединительной трубкой, пипетка-капельница, склянка с меткой «10 мл», стаканчик на 25– 50 мл для выпаривания. Защитные очки, перчатки резиновые. Вода дистиллированная, кислота серная концентрированная, раствор гидроксида натрия (20 %) водный, раствор салициловой кислоты (10 %) спиртовой, сегнетова соль (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тартрат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калия-натрия)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в капсулах по 0,1 г. Контрольная шкала образцов окраски для определения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нитрат-аниона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(0,0; 5,0; 15; 30; 50 мг/л) из состава тест-комплекта или приготовленная самостоятельно.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Ход анализа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1. Поместите с помощью пипетки 1,0 мл анализируемой воды в стаканчик для выпаривания. Если в воде содержатся </w:t>
      </w:r>
      <w:r w:rsidRPr="00DC30BA">
        <w:rPr>
          <w:rFonts w:ascii="Times New Roman" w:hAnsi="Times New Roman" w:cs="Times New Roman"/>
          <w:sz w:val="28"/>
          <w:szCs w:val="28"/>
        </w:rPr>
        <w:t>соединения</w:t>
      </w:r>
      <w:r w:rsidRPr="00DC30BA">
        <w:rPr>
          <w:rFonts w:ascii="Times New Roman" w:hAnsi="Times New Roman" w:cs="Times New Roman"/>
          <w:sz w:val="28"/>
          <w:szCs w:val="28"/>
        </w:rPr>
        <w:t xml:space="preserve"> железа в концентрации свыше 0,5 мг/л, в стаканчик вносят также содержимое одной капсулы (0,1 г) сегнетовой соли.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2. Содержимое стаканчика выпарьте досуха на кипящей водяной бане в течение 10–15 мин.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3. Охладите стаканчик до комнатной температуры в течение 5–10 мин.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4. Добавьте в стаканчик пипеткой-капельницей 4–5 капель раствора салициловой кислоты так, чтобы смочить весь сухой остаток.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5. Добавить другой пипеткой 26–27 капель концентрированной серной кислоты (около 0,5).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6. Сухой остаток смешайте с кислотой стеклянной палочкой и разотрите его по дну и стенкам стаканчика.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7. Не вынимая палочку из стаканчика, оставьте его содержимое на 5 мин.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8. Добавьте пипеткой 3–4 мл дистиллированной воды таким образом, чтобы изнутри обмыть стенки стаканчика.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lastRenderedPageBreak/>
        <w:t>9. Добавьте к содержимому стаканчика 4–5 мл 20 %-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раствора гидроксида натрия.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Для дозировки раствора гидроксида натрия удобно выделить пробирку с меткой «5 мл»).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При наличии в анализируемой воде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нитрат-анионов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раствор в стаканчике сразу окрашивается в желтый цвет.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10. Содержимое стаканчика по стеклянной палочке слейте в склянку с меткой «10 мл», ополосните стаканчик и палочку небольшими порциями дистиллированной воды и доведите объем раствора в склянке до 10 мл.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11. Окраску раствора в склянке сравните с контрольной шкалой образцов окраски на белом фоне. За результат анализа принимайте значение концентрации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нитрат-анионов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в мг/л того образца шкалы, который более всего соответствует окраске полученного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раствора.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Если окраска в склянке окажется интенсивнее крайнего контрольного образца, анализируемую пробу разбавляют в 5 раз дистиллированной водой и определение повторяют. При вычислении результатов учитывают степень разбавления пробы.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  <w:r w:rsidRPr="00DC30BA"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№ </w:t>
      </w:r>
      <w:r w:rsidRPr="00DC30BA">
        <w:rPr>
          <w:rFonts w:ascii="Times New Roman" w:hAnsi="Times New Roman" w:cs="Times New Roman"/>
          <w:b/>
          <w:sz w:val="28"/>
          <w:szCs w:val="28"/>
        </w:rPr>
        <w:t>4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Определение в воде содержания фосфатов и общего фосфора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Цель: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научится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используя методики определять содержание фосфатов и общего фосфора  в воде.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Реактивы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Вода дистиллированная, перманганат калия кристаллический, раствор восстановителя, раствор для связывания нитритов, раствор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молибдата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, раствор серной кислоты (10 %) водный, раствор серной кислоты (1:3) водный, персульфат аммония в упаковках по 0,5 г.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Посуда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30BA">
        <w:rPr>
          <w:rFonts w:ascii="Times New Roman" w:hAnsi="Times New Roman" w:cs="Times New Roman"/>
          <w:sz w:val="28"/>
          <w:szCs w:val="28"/>
        </w:rPr>
        <w:t>Колба коническая термостойкая (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Эрленмейера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) на 150 мл со шлифом, мерная склянка с делениями (5,10, 20 мл) с пробкой, холодильник обратный со шлифом,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кипелки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(стеклянные капилляры, зерна силикагеля), колба мерная вместимостью 50 мл, плитка электрическая с закрытым нагревательным элементом, пипетка, капельница, чашка фарфоровая на 200–500 мл, шприц-дозатор медицинский на 1 мл с соединительной трубкой.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Контрольная шкала образцов окраски для концентраций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ортофосфатов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(0; 0,2; 1,0; 3,5; 7,0 мг/л) из состава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тест-комплекта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или приготовления самостоятельно.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Определение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ортофосфатов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 питьевой и природной воде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1. Отберите в мерную склянку 20 мл профильтрованной или отстоянной анализируемой воды, предварительно ополоснув склянку 2–3 раза той же водой.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lastRenderedPageBreak/>
        <w:t xml:space="preserve">2. Добавьте к пробе пипеткой-капельницей 10 капель раствора для связывания нитритов и затем шприцем-дозатором 1 мл раствора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молибдата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. Склянку закройте пробкой и встряхните для перемешивания раствора.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3. Оставьте пробу на 5 мин для полного протекания реакции.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4. Добавьте к пробе пипеткой-капельницей 2–3 капли раствора восстановителя. Склянку закройте пробкой и встряхните для помешивания раствора. При наличии в воде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ортофосфатов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 приобретает синюю окраску.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5. Оставьте пробу на 5 мин для полного протекания реакции.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6. Проведите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визуальное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колориметрирование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пробы. Для этого мерную склянку поместите на белое поле контрольной шкалы и, освещая склянку рассеянным белым светом достаточной интенсивности, определите ближайшее по окраске поле контрольной шкалы и соответствующее ему значение концентрации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ортофосфатов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 мг/л.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Для более точного определения плотность пробы может быть измерена с помощью фотоколориметра. При этом необходима градуировка в диапазоне 0,001–0,04 мг/л.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В загрязненных поверхностных и сточных водах при определении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ортофосфатов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необходимо: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1) определить индикаторной бумажкой рН среды. При наличии сильнощелочной среды пробу нейтрализуют раствором серной кислоты до рН 4–8;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2) если предполагается наличие силикатов (более 50 мг/л) или железа (более 1 мг/л), пробу предварительно разбавляют в 4 раза;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3) если присутствуют хроматы (более 3 мг/л),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измените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порядок прибавления растворов: первым прибавьте к пробе раствор восстановителя, а затем раствор для связывания нитратов и раствор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молибдата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;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4) если ожидается присутствие танина, его можно удалить фильтрованием через колонку с активированным углем.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Определение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гидролизующихся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полифосфатов и эфиров фосфорной кислоты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1. Пробу объемом 50 мл поместите в коническую колбу.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2. Добавьте шприцем-дозатором 1 мл раствора серной кислоты (10 %) и несколько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кипелок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(зерен силикагеля или стеклянных капилляров).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3. Присоедините к колбе обратный холодильник. Поместите колбу на электроплитку и кипятите смесь при минимальной мощности нагревания 30 мин.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4. После охлаждения смесь количественно перенесите в мерную колбу. В процессе кипячения происходит потеря растворителя — воды. Потерю воды восполните добавлением в мерную колбу до метки 50 мл дистиллированной воды, которой предварительно ополосните колбу.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5. Из полученного раствора отберите пробу (20 мл) в мерную склянку и анализируйте ее на содержание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ортофосфатов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. Полученный результат будет </w:t>
      </w:r>
      <w:r w:rsidRPr="00DC30BA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представлять сумму концентраций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ортофосфатов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и полифосфатов (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Сa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) в пересчете на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ортофосфатанион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(РО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>).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6. В отдельной пробе анализируемой воды, не подвергая ее кислотному гидролизу, определите концентрацию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ортофосфатов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Соф, как описано выше.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7. Рассчитайте концентрацию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гидролизовавшихся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фосфатов (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Спф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) в мг/л по формуле: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Спф</w:t>
      </w:r>
      <w:proofErr w:type="spellEnd"/>
      <w:proofErr w:type="gramStart"/>
      <w:r w:rsidRPr="00DC30BA">
        <w:rPr>
          <w:rFonts w:ascii="Times New Roman" w:hAnsi="Times New Roman" w:cs="Times New Roman"/>
          <w:sz w:val="28"/>
          <w:szCs w:val="28"/>
        </w:rPr>
        <w:t xml:space="preserve"> = С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>∑ – Соф,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∑ — суммарная концентрация полифосфатов,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гидролизовавшихся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органических фосфатов и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ортофосфатов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, определенная в условиях гидролиза, мл/л; Соф — концентрация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ортофосфатов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, мг/л.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Минерализация и определение общего фосфора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1. В фарфоровую чашку поместите 50 мл анализируемой воды.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2. Высыпьте в чашку содержимое одной капсулы (0,5 г) персульфата аммония и добавьте 1 мл раствора серной кислоты (1:3).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3. Выпарите смесь досуха, поместив чашку на нагревательный элемент электрической плитки.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4. Поместите чашку в сушильный шкаф и выдержите ее там в течение 6 часов при температуре 160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>, после чего дайте остыть чашке до комнатной температуры.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5. После охлаждения к сухому остатку осторожно прилейте 30 мл дистиллированной воды, перемешивая смесь до растворения солей.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6. Далее раствор перенесите в мерную колбу или склянку, доведите до метки «50 мл» дистиллированной водой и определите содержание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ортофосфатов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7. Содержание общего фосфора (мг/л) определите по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градуировочному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графику, предварительно построенному по стандартным растворам, обработанным в соответствии со всеми выполняемыми при минерализации операциями.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  <w:r w:rsidRPr="00DC30BA"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№ </w:t>
      </w:r>
      <w:r w:rsidRPr="00DC30BA">
        <w:rPr>
          <w:rFonts w:ascii="Times New Roman" w:hAnsi="Times New Roman" w:cs="Times New Roman"/>
          <w:b/>
          <w:sz w:val="28"/>
          <w:szCs w:val="28"/>
        </w:rPr>
        <w:t>5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Определение содержания в воде нитритов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Цель: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научится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используя методики определять содержание нитритов  в воде.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Реактивы и оборудование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Ножницы, пробирка колориметрическая с меткой «5 мл». Реактив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Грисса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 капсулах по 0,05 г. Контрольная шкала образцов окраски для определения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нит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-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рит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-аниона (0; 0,02; 0,1; 0,50; 1,1 мг/л) из состава тест-комплекта или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приготовленная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самостоятельно.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lastRenderedPageBreak/>
        <w:t>Выполнение анализа.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1. Налейте анализируемую воду в колориметрическую пробирку до метки «5 мл».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2. Добавьте содержимое одной капсулы реактива (0,05 г)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Грисса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 пробирку. Перемешайте содержимое пробирки встряхиванием до растворения смеси.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3. Оставьте пробирку на 20 мин для завершения реакции.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4. Проведите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визуальное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колориметрирование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пробы. Окраску раствора в пробирке на белом фоне сравните с контрольной шкалой образцов окраски. Можно это проделать с помощью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фотоэлектроколориметра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при длине волны 540 в кюветах на 10 мм.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  <w:r w:rsidRPr="00DC30BA"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№ </w:t>
      </w:r>
      <w:r w:rsidRPr="00DC30BA">
        <w:rPr>
          <w:rFonts w:ascii="Times New Roman" w:hAnsi="Times New Roman" w:cs="Times New Roman"/>
          <w:b/>
          <w:sz w:val="28"/>
          <w:szCs w:val="28"/>
        </w:rPr>
        <w:t>6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Определение содержания в воде общего железа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Цель: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научится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используя методики определять содержание общего железа в  воде.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Оборудование и реактивы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Бумага индикаторная универсальная, контрольная шкала образцов окраски, мерная склянка с меткой «10 мл» с пробкой, пипетка-капельница, шприц-дозатор на 2 мл с соединительной трубкой. Вода дистиллированная, раствор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орто-фенантролина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(0,1 %), раствор буферный ацетатный, раствор гидроксида натрия (10 %), раствор соляной кислоты (1:10), раствор солянокислого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гидроксиламина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(10 %). Контрольная шкала для определения железа (0; 0,1; 0,3;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0,7; 1,5 мг/л).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Выполнение определения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1. Отберите в склянку анализируемую воду до метки «10 мл», предварительно ополоснув ее 2–3 раза той же водой. Используя универсальную индикаторную бумагу, определите рН среды с помощью пипетки-капельницы, в зависимости от найденного рН, добавляйте растворы гидроксида натрия либо соляной кислоты, доведите рН пробы до 4–5.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2. В склянку пипеткой-капельницей добавьте 4–5 капель раствора солянокислого гидроксида (около 0,2 мл). Склянку закройте пробкой, встряхните для перемешивания раствора.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3. Далее шприцем с наконечником-пипеткой поочередно добавьте 1,0 мл ацетатного буфера и 0,5 мл раствора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орто-фенантролина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(перед прибавлением каждого раствора пипетку промойте, заполняя и полностью сливая дистиллированную воду). После каждого прибавления склянку закрывайте пробкой и встряхивайте для перемешивания раствора.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4. Раствор в склянке оставьте не менее чем на 15–20 мин для полного развития окраски.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lastRenderedPageBreak/>
        <w:t xml:space="preserve">5. Проведите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визуальное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колориметрирование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пробы.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 xml:space="preserve">Для этого склянку с пробкой поместите на белое поле контрольной шкалы и, освещая склянку рассеянным белым светом достаточной интенсивности, определите ближайшее по окраске поле контрольной шкалы и соответствующее ему значение концентрации железа общего в мг/л. При получении результата анализа учтите разбавление пробы чистой водой, введя поправочный коэффициент (при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разбав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-</w:t>
      </w:r>
      <w:proofErr w:type="gramEnd"/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лении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 4 раза значение концентрации умножьте на 4). Для более точного определения оптическая плотность пробы может быть измерена с помощью фотоколориметра при 490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  <w:r w:rsidRPr="00DC30B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 w:rsidRPr="00DC30BA">
        <w:rPr>
          <w:rFonts w:ascii="Times New Roman" w:hAnsi="Times New Roman" w:cs="Times New Roman"/>
          <w:b/>
          <w:sz w:val="28"/>
          <w:szCs w:val="28"/>
        </w:rPr>
        <w:t>7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Определение содержания в воде суммы тяжелых металлов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Цель: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научится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используя методики определять сумму тяжелых металлов  в воде.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Реактивы и оборудование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очищенный, раствор аммиака очищенного, раствор буферный боратный (рН 8,0), углерод четыреххлористый очищенный. Воронка делительная с меткой «25 мл», пипетка-капельница с пробкой, пипетка на 2,0 мл со шприцем и соединительной резиновой трубкой, пробирка колориметрическая с меткой «5 мл». Контрольная шкала образцов для концентраций суммы металлов.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Подготовка к анализу. Приготовление раствора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дитизона</w:t>
      </w:r>
      <w:proofErr w:type="spellEnd"/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В чистую склянку из темного стекла поместите навеску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очищенного 0,01 г, налейте чистым мерным цилиндром 100 мл четыреххлористого углерода очищенного (работать в вытяжном шкафу!). Срок годности раствора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— 6 месяцев при условии хранения в герметично закрытой затемненной склянке.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Выполнение анализа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1. Делительную воронку ополосните анализируемой водой несколько раз и налейте до метки «25 мл» этой воды.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2. Прибавьте туда же разными пипетками 1,0 мл буферного раствора и 2,0 мл раствора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3. Встряхивайте содержимое делительной воронки в течение 15–20 мин., затем внесите туда чистой пипеткой — капельницей 2  капли раствора очищенного аммиака и вновь встряхивайте в течение 15–20 с. В процессе </w:t>
      </w:r>
      <w:r w:rsidRPr="00DC30BA">
        <w:rPr>
          <w:rFonts w:ascii="Times New Roman" w:hAnsi="Times New Roman" w:cs="Times New Roman"/>
          <w:sz w:val="28"/>
          <w:szCs w:val="28"/>
        </w:rPr>
        <w:lastRenderedPageBreak/>
        <w:t xml:space="preserve">экстракции периодически сбрасывайте избыточное давление паров четыреххлористого углерода </w:t>
      </w:r>
      <w:proofErr w:type="spellStart"/>
      <w:proofErr w:type="gramStart"/>
      <w:r w:rsidRPr="00DC30BA">
        <w:rPr>
          <w:rFonts w:ascii="Times New Roman" w:hAnsi="Times New Roman" w:cs="Times New Roman"/>
          <w:sz w:val="28"/>
          <w:szCs w:val="28"/>
        </w:rPr>
        <w:t>углерода</w:t>
      </w:r>
      <w:proofErr w:type="spellEnd"/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в делительной воронке, для чего располагайте ее вертикально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кра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ном вверх и слегка приоткрывайте кран.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4. Воронку оставьте в вертикальном положении до расслоения жидкости (около 10–20 мин).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5. После расслоения органический (нижний) слой слейте в колориметрическую пробирку (около 2 мл).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6. Проведите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визуальное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колориметрирование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: окраску раствора в пробирке сравните с контрольной шкалой образцов окраски на белом фоне.</w:t>
      </w:r>
    </w:p>
    <w:p w:rsidR="00DC30BA" w:rsidRPr="00DC30BA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  <w:r w:rsidRPr="00DC30BA"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№ </w:t>
      </w:r>
      <w:r w:rsidRPr="00DC30BA">
        <w:rPr>
          <w:rFonts w:ascii="Times New Roman" w:hAnsi="Times New Roman" w:cs="Times New Roman"/>
          <w:b/>
          <w:sz w:val="28"/>
          <w:szCs w:val="28"/>
        </w:rPr>
        <w:t>8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Определение содержания подвижного молибдена в почве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Цель: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научится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используя методики определять содержание подвижного молибдена в почве.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Реактивы и оборудование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10 г почвы 100 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оксалатного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буфера.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1. Соляная кислота. 20 %-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р-р: 492 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НСl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разбавляют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бидистиллированной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водой до 1 л, 14 %-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р-р: 330 мл НС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разбавить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бидистиллированной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водой до 1 л., 6,5 %-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р-р: 300 мл 20 %-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НС1 разбавить до 1 л.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2. Калий роданистый (10 %-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р-р): 10 г химически чистого реактива растворить в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бидистиллированной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воде, довести объем до 100 мл и отфильтровать.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3. Олово двухлористое (20 %-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р-р): 20 г химически чистого реактива залить в 20 мл 20 %-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НС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и, накрыв стакан часовым стеклом, кипятить до растворения. Охлажденный раствор перенести в мерную колбочку на 100 мл и довести объем до метки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бидистиллированной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водой.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4. Промывной раствор: 2 мл 10 %-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SnCl2 и 8 мл воды.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5. Железоаммонийные квасцы (1 %-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р-р): 10 г химически чистого реактива растворить при нагревании в 20 %-ной НС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(если определение производится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роданидным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методом) или в 14 %-ной НС1 (если определение проводят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дитиоловым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методом). После охлаждения объем довести соответствующим раствором соляной кислоты до 1 л. Раствор содержит 1 мг/мл железа.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6. Калий йодистый (50 %-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р-р): 250 г химически чистого реактива растворить в Н2О и довести объем до 500 мл. Раствор хранится в холодильнике не более недели.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7. Маскирующий раствор: 75 г лимонной кислоты и 150 г аскорбиновой кислоты растворить в Н2О и разбавить до 1 л. Хранится не более недели.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8. Цинк-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дитиол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(0,3 %-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р-р): 300 мл цинк-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дитиол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смочить 2 мл этилового спирта, прибавить 4 мл воды и 2 г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NaOH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lastRenderedPageBreak/>
        <w:t>После полного растворения цинк-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дитиола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и щелочи разбавить водой до 50 мл. К полученному раствору прилить 50 мл 50 %-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йодистого калия. Раствор мутный, но не мешает определению. Готовят раствор в день анализа.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9. Стандартный раствор молибдена. Запасной раствор: 0,184 г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перекристаллизованного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молибденовокислого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аммония  растворить в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бидистиллированной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воде и довести объем до 1 л. Раствор содержит 100 мкг/мл молибдена. Рабочий раствор: 5,0 мл  запасного стандартного раствора разбавить до 500 мл 20%-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 или 14 %-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НС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(в зависимости от метода анализа). Раствор содержит 1 мкг/ мл молибдена. 10 г почвы или 5,0 г торфа заливают 100 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оксалатного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30BA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ферного</w:t>
      </w:r>
      <w:proofErr w:type="spellEnd"/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раствора и взбалтывают на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ротаре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1 ч. Вытяжку фильтруют, отбрасывая первую порцию. Одновременно ставят холостой опыт, проводя его через все стадии анализа.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Ход анализа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Роданидный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метод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50–75 мл вытяжки поместить в кварцевый стакан и </w:t>
      </w:r>
      <w:proofErr w:type="spellStart"/>
      <w:proofErr w:type="gramStart"/>
      <w:r w:rsidRPr="00DC30BA">
        <w:rPr>
          <w:rFonts w:ascii="Times New Roman" w:hAnsi="Times New Roman" w:cs="Times New Roman"/>
          <w:sz w:val="28"/>
          <w:szCs w:val="28"/>
        </w:rPr>
        <w:t>выпа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рить</w:t>
      </w:r>
      <w:proofErr w:type="spellEnd"/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на плитке досуха. Для частичной возгонки оксалатов стакан  оставить на плитке еще на 30 мин. Затем холодный стакан перенести в холодный муфель, довести температуру до 500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и 4 ч прокалить остаток вытяжки. Остаток растворить при нагревании в 10 мл 20 %-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НС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, охладить и отфильтровать в делительные воронки на 100 мл с отметкой объема в 45 мл.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Фильтр промыть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бидистиллятором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несколько раз до отметки 45 мл. Затем в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делительную воронку прилить 4 мл 20 %-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раствора SnCl2 и вновь перемешать. После того, как исчезнет окраска красно-бурая  роданида железа трехвалентного, прибавить 15 мл изоамилового  спирта или н-бутанола и встряхивать в течение 2 мин. После расслоения фаз водный слой слить, оставив только около 0,5 мл, а органический экстракт промыть 20 мл свежеприготовленной промывочной смеси.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Если раствор мутный от мелких капель воды, прибавить 1 мл этилового спирта и встряхнуть. В течение 20–30 мин раствор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колориметрировать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при 463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на спектрофотометре или на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ФЭКе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с синим светофильтром (длина волны — 450–470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)  в кювете длиной 3 см относительно чистого органического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экстрагента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. При низком содержании молибдена объем упариваемой  вытяжки увеличить до 100–150 мл, а навеску, соответственно, до  20 и 10 г.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При построении калибровочной кривой от 0,2 до 5 мкг молибдена в пробе к стандартным растворам прибавляют железо в  количествах, присутствующих в аликвотной части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оксалатной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 вытяжки из почвы. Все последующие операции со стандартными  растворами аналогичны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проделанным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с пробой. Содержание молибдена в анализируемой пробе находят по калибровочному  графику и вычитают из него результат холостого опыта.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Определение молибдена с помощью цинк-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дитиола</w:t>
      </w:r>
      <w:proofErr w:type="spellEnd"/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30BA">
        <w:rPr>
          <w:rFonts w:ascii="Times New Roman" w:hAnsi="Times New Roman" w:cs="Times New Roman"/>
          <w:sz w:val="28"/>
          <w:szCs w:val="28"/>
        </w:rPr>
        <w:t xml:space="preserve">50–75 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оксалатной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вытяжки помещают в термостойкий ста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кан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и выпаривают на плитке досуха.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Для полного обезвоживания  и частичной возгонки оксалатов оставляют на плитке еще 30 мин.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Затем холодный стакан помещают в холодный муфель, разогревают его до 500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и прокаливают в течение 1 ч. Для полного разрушения органики прокаливаемый остаток смачивают 2 мл хлорной  кислоты и выпаривают его на плитке до полного прекращения задымления. После этого остаток прокаливают в муфеле при 500 °C  в течение 15–20 мин. Прокаленный осадок при нагревании на плит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растворяют в 29 мл 14 %-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НС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. Раствор охлаждают и для  предотвращения взаимодействия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дитиола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с вольфрамом прилива ют к нему 4 мл маскирующего раствора и тщательно перемешивают. Затем для предотвращения влияния меди путем связывания ее  в комплекс с иодидом приливают 2 мл раствора йодистого калия.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Содержимое стакана фильтруют в делительную воронку объемом 100 мл с отметкой объема 45 мл. В несколько приемов обмывают  стакан 14 %-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раствором НС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и промывают фильтр до тех пор,  пока объем фильтрата не станет равным 45 мл.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В делительные воронки последовательно приливают, чередуя  операции тщательным перемешиванием, 3 мл раствора цинк-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дитиола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, 6 мл хлороформа и оставляют на несколько минут. После  того, как жидкости расслоятся, нижний органический, окрашенный в зеленый цвет слой фильтруют через сухой бумажный фильтр  непосредственно в кювету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спектроколориметра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или в сухую пробирку с притертой пробкой. Окраска экстракта не изменяется в  течение дня.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Экстракты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колориметрируют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относительно хлороформа при длине волны 675–680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, используя красный светофильтр. При необходимости используют кювет с толщиной просвечивающего слоя 2–3 см, объемы вытяжки и реактивов увеличивают в 1,5  раза, а хлороформа — в 2,5 раза.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Для приготовления шкалы образцовых растворов в делительные воронки приливают по 5 мл 1 %-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раствора железоаммонийных квасцов и вносят стандартные растворы молибдена от 0,2  до 5 м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кг в пр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обе, далее поступают так же, как при подготовке образца. Содержание молибдена в анализируемой пробе находят по  калибровочному графику и вычитают из него результаты холостого опыта, который ведут со стадии выпаривания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оксалатной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вытяжки по всем операциям идентично с пробой.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Расчет содержания молибдена проводят по формуле: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где Х — содержание элемента, мг/кг; а — содержание элемента, найденное по графику, мкг; V0 — объем исходной вытяжки, мл;  V1 — объем вытяжки, взятой на определение, мл;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н–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навеска, г.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  <w:r w:rsidRPr="00DC30BA">
        <w:rPr>
          <w:rFonts w:ascii="Times New Roman" w:hAnsi="Times New Roman" w:cs="Times New Roman"/>
          <w:b/>
          <w:sz w:val="28"/>
          <w:szCs w:val="28"/>
        </w:rPr>
        <w:t>Лабораторная работа №</w:t>
      </w:r>
      <w:r w:rsidRPr="00DC30BA">
        <w:rPr>
          <w:rFonts w:ascii="Times New Roman" w:hAnsi="Times New Roman" w:cs="Times New Roman"/>
          <w:b/>
          <w:sz w:val="28"/>
          <w:szCs w:val="28"/>
        </w:rPr>
        <w:t>9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Определение меди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диэтилдитиокарбонатом</w:t>
      </w:r>
      <w:proofErr w:type="spellEnd"/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Цель: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научится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используя методики определять содержание меди в почве.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Реактивы и оборудование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 xml:space="preserve">Раствор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диэтилтиокарбоната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свинца с СС14: 664 мг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диэтилкарбоната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поместить в 2-литровую делительную воронку и  прилить 1 л СС14, прибавить 486 мг нитрата свинца, растворенного в 100 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бидистиллята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, и встряхивать в течение 5 мин. После разделения фаз нижний слой СС14 с растворенным в нем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диэтилдитиокарбонатом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свинца фильтруют в темную склянку.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Хранят в холодильнике.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2. 5 %-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 лимоннокислого аммония: 50 г х. ч. Соли растворить в 1 л Н20. Проводят проверку на загрязненность реактива медью: в делительную воронку на 50 мл поместить 20 мл  раствора, прибавить 10 мл раствора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диэтилдитиокарбоната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30BA">
        <w:rPr>
          <w:rFonts w:ascii="Times New Roman" w:hAnsi="Times New Roman" w:cs="Times New Roman"/>
          <w:sz w:val="28"/>
          <w:szCs w:val="28"/>
        </w:rPr>
        <w:t>свин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ца</w:t>
      </w:r>
      <w:proofErr w:type="spellEnd"/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и встряхивать 2 мин. Если после разделения слоев нижний слой будет окрашен в желтый цвет, то необходимо провести очистку  всего раствора лимоннокислого аммония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дитизоном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(приготовление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описано в методике определения цинка). Раствор  перенести в делительную воронку на 2 мл, прилить 10 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и встряхивать 2 мин. После разделения слоев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дитизоновый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слой  отбросить и повторить промывку таким же образом до тех пор, пока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не будет сохранять свою первоначальную окраску.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3. Разбавленный аммиак готовят разбавлением концентрированного аммиака в 2 раза.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4. Стандартный раствор меди (запасной): 3,928 г сульфата меди, содержащего 1 г меди, растворить в 1 л Н2О и прибавить  5 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конц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. Н2SO4. Раствор содержит 1 мг/мл меди. Для приготовления шкалы стандартных растворов этот раствор разбавляют в  100 раз. Получают раствор, содержащий 100 мкг/мл меди. Ионы  меди сильно адсорбируются стеклом, поэтому рабочий стандартный раствор готовят в день употребления.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Ход анализа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В делительные воронки взять по 10–25 мл 1N НС1-вытяжки  по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Пейве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Ринькису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, 50 мл буферного раствора уксуснокислого  натрия по Кругловой и 20 мл окисленной аммонийно-ацетатного  раствора вытяжки по Крупскому и Александровой, прилить по 5 мл 5 %-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раствора лимоннокислого аммония и фенолфталеина,  нейтрализовать разбавленным аммиаком до розовой окраски.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 xml:space="preserve">За тем в воронку из бюретки прилить 15 мл раствора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диэтилдитио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карбоната свинца в четыреххлористом углероде и энергично встряхивать в течение 2 мин. После разделения фаз отфильтровать  нижний слой четыреххлористого углерода, окрашенный в коричневый цвет комплексом с карбонатом, в пробирку с притертой  пробкой или комплексом с карбонатом, в пробирку с притертой  пробкой или прямо в 2-сантимитровую кювету фотоколориметра.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Оптическую плотность определить при 436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(синий светофильтр)  относительно чистого СС14.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lastRenderedPageBreak/>
        <w:t xml:space="preserve">Шкалу стандартных растворов готовят таким же образом в  пределах от 1 до 20 мкг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u</w:t>
      </w:r>
      <w:proofErr w:type="spellEnd"/>
      <w:proofErr w:type="gramEnd"/>
      <w:r w:rsidRPr="00DC30BA">
        <w:rPr>
          <w:rFonts w:ascii="Times New Roman" w:hAnsi="Times New Roman" w:cs="Times New Roman"/>
          <w:sz w:val="28"/>
          <w:szCs w:val="28"/>
        </w:rPr>
        <w:t>. Содержание меди в пробе определяют  по калибровочному графику и вычитают из него результат холостого опыта. Дальнейший расчет содержания ведут с учетом навески и разведения по формуле: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где Х — содержание меди, мг/кг; а — содержание элемента,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най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-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30BA">
        <w:rPr>
          <w:rFonts w:ascii="Times New Roman" w:hAnsi="Times New Roman" w:cs="Times New Roman"/>
          <w:sz w:val="28"/>
          <w:szCs w:val="28"/>
        </w:rPr>
        <w:t>денное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по графику, мкг; V0– исходный объем вытяжки; V1– объем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вытяжки, взятый на определение, мл; н — навеска почвы, г.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Лабораторная работа №  </w:t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Определение содержания кобальта в почве с нитро-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>-солью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Цель: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научится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используя методики определять содержание кобальта в почве.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Реактивы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1. Маскирующий раствор: смешать равные объемы 20 %-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трехзамещеного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лимоннокислого натрия.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2. Смесь кислот: 100 мл 85 %-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раствора Н3РО4 смешать с 20 мл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концентрированной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Н3РО4.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3. Нитро- R-соль, 0,05 %-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раствор: 0,5 г реактива растворить в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бидистиллированной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воде и довести объем до 1 л водой.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Ход определения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Для определения подвижных форм кобальта взять 25–50 мл 1N НNO3 вытяжки, 100 мл вытяжки уксуснокислого натрия по  Кругловой, 50–100 мл аммонийно-ацетатных вытяжек с рН 4,8 и с рН 4,5 по Соловьеву и поместить в термостойкий стакан. Прилить 2 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конц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. НNO3 и 2 мл Н2О, выпарить на закрытой плитке или песчаной бане досуха. Провести вторичную обработку осадка 1 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конц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. НNO3 и 1 мл Н2О и опять выпарить досуха. К осадку прилить 6 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бидистиллированной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воды, подкисленной (1:100) НС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>, довести раствор до кипения, прибавить 2 мл маскирующей смеси и кипятить 1 мин. Реакция раствора должна быть 5,6–6,0, поэтому в случае необходимости ее доводят до нужной, прикапывая уксуснокислый натрий. Затем к анализируемому раствору прилить 2 мл 0,05 %-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раствора нитро-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>-соли, 5 мл воды и довести до кипения. Растворы охладить, прилить 3 мл смеси Н3РО4 и НNO3 (5 частей 85 %-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Н3 РО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и 1 часть концентрированной НNO3 и сразу же перемешать. Растворы перенести в градуированные пробирки на 20 мл, довести объем до метки водой и, перемешав,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фотометрировать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относительно воды в кюветах на 2 см при длине  волны 520–536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(с зеленым светофильтром).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lastRenderedPageBreak/>
        <w:t>Для построения калибровочного графика в 10 мерных колбочек на 100 мл набирают 0,5; 1; 2; 3; 4; 5; 6; 7; 8; 9; 10 мл стандартного раствора, содержащего 10 мкг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>о/мл. Затем в колбочки доливают до 10 мл воды, 2 мл маскирующего раствора, 2 мл 0,05 % 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раствора нитро-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>-соли и нагревают до кипения. Охлаждают растворы и приливают 3 мл смеси Н3РО4 и НNO3 кислот и доводят объем до 20 мл. На основе полученных данных строят  калибровочный график, по нему определяют содержание кобальта в пробах.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  <w:r w:rsidRPr="00DC30BA"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 № </w:t>
      </w:r>
      <w:r w:rsidRPr="00DC30BA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Определение содержания кадмия в почве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Цель: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научится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используя методики определять содержание кадмия в почве.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Ход работы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В делительную воронку на 150 мл взять аликвотную часть анализируемого раствора или вытяжки, содержащих от 2 до 40 мкг  кадмия.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Дитизонат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кадмия и цинка легко разлагается разбавлением соляной кислоты (рН 2,0), тогда как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дитизонаты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никеля и кобальта остаются неизменными, поэтому растворы для отделения от мешающих элементов никеля и кобальта подкисляют до рН 2,0 10 %-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р-ром НС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Для определения неразложившихся комплексов прибавить порциями по 5 мл раствор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 четыреххлористом углероде, после интенсивного встряхивания и разделения фаз органическую фазу отбросить и повторять экстракцию до тех пор, пока окраска последней порции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останется  неизменной.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К водному раствору добавить 10 мл 20 %-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 сегнетовой соли (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татрата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калия, натрия), 0,5 мл раствора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диметилглиоксима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, по каплям добавить аммиак до нейтральной  реакции и хорошо перемешать.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30BA">
        <w:rPr>
          <w:rFonts w:ascii="Times New Roman" w:hAnsi="Times New Roman" w:cs="Times New Roman"/>
          <w:sz w:val="28"/>
          <w:szCs w:val="28"/>
        </w:rPr>
        <w:t xml:space="preserve">Затем для предотвращения окисления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присутствующими окислителями, особенно марганцем, прилить 1 мл 20 %-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гидроксиламина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и 40 %-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 щелочи натрия в  таком количестве, чтобы концентрация его в анализируемом растворе составила не менее 5–10 %. При такой щелочной реакции 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дитизонат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кадмия остается устойчивым, тогда как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дитизонаты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 свинца, цинка, олова и некоторых других мешающих катионов разрушаются, а поэтому экстрагируются только комплексы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кадмия.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Дитизонаты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кадмия экстрагируются несколькими порциями по 5 мл раствора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дитизоната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 СС14 до тех пор, пока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дитизон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не перестанет приобретать розовую окраску. Объединенные органические экстракты поместить в делительную воронку, промыть сначала 0,5 %-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раствором щелочи натрия и водой, перенести в мерную колбу на 25 или 50 мл (в зависимости от </w:t>
      </w:r>
      <w:r w:rsidRPr="00DC30BA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количества кадмия), довести до метки СС14 и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фотометрировать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при длине волны 520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(зеленый светофильтр) относительно чистого СС14.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Расчет ведут по формуле: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где Х — содержание кадмия, мг/кг; а — содержание кадмия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про-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найденное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по графику, мкг;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Vо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— исходный объем вытяжки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или раствора, мл; V1 — объем вытяжки или раствора, взятый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определение, мл; н — навеска, г.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Лабораторная работа № 39 (2 часа)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Лабораторная работа №10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Периодатный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метод определения марганца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30BA">
        <w:rPr>
          <w:rFonts w:ascii="Times New Roman" w:hAnsi="Times New Roman" w:cs="Times New Roman"/>
          <w:sz w:val="28"/>
          <w:szCs w:val="28"/>
        </w:rPr>
        <w:t>При определении валового содержания марганца из фильтрата после разложения образца тем или иным способом отбирают часть (аликвотную), соответствующую 0,2–0,3 г почвы, а при определении подвижной формы 10–15 мл вытяжки помещают в  фарфоровую чашку или в термостойкий стакан на 50 мл, прибавляют 5 мл концентрированной азотной кислоты и 2 мл перекиси водорода и выпаривают досуха.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Сухой остаток обрабатывают еще 2–3 раза азотной кислотой и перекисью водорода в целях  вытеснения НС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и окисления восстановителей.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 После каждой обработки азотной кислотой остаток высушивают на плитке до  полного удаления этой кислоты.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К сухому остатку приливают 25 мл 10 %-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Н2SO4 и нагревают до полного его растворения. Приливают в стаканчик 20 мл воды, прибавляют 2 мл Н2РО4 (плотности 1,7) и 1 мл  2,5 %-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раствора азотнокислого серебра, перемешивают и  вносят около 0,5 г сухой соли КJО4, нагревают раствор до кипения и кипятят до полного окисления марганца. После охлаждения раствор переносят в мерную колбочку на 50 мл, доводят объем до метки водой или 10 %-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раствором серной  кислоты.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Серию эталонных растворов от 0,1 до 2,0 мг в пробе готовят таким же образом, как и анализируемую пробу.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Фотометрирование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проводят при длине волны 525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относительно Н2О.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Определение марганца с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формальдоксидом</w:t>
      </w:r>
      <w:proofErr w:type="spellEnd"/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Реактивы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1. Раствор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формальдоксима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(запасной): 123 г солянокислого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гидроксиламина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растворить в 700 мл воды, добавить 172 мл  37 %-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формалина и довести объем водой до 1 л. Раствор  может храниться до 1 месяца. В день проведения анализа из него готовят рабочий раствор, для чего 200 мл запасного раствора разбавляют дистиллированной водой до 1 л.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lastRenderedPageBreak/>
        <w:t>2. Аммиачный буфер (запасной): 68 г хлористого аммония  растворить в 57 мл 25 %-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раствора аммиака и довести водой  до 1 л. Рабочий раствор готовят разбавлением запасного в 10 раз.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3. Маскирующий раствор: 4 г аскорбиновой кислоты растворить в 500 мл 3 %-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раствора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трилона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4. Стандартный раствор марганца (запасной): 2,730 г МnSO4, предварительно прокаленного до постоянного веса, растворить в  воде и добавить 10 мл серной кислоты и довести объем до 1 л. Раствор содержит 1 мг/мл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n</w:t>
      </w:r>
      <w:proofErr w:type="spellEnd"/>
      <w:proofErr w:type="gramEnd"/>
      <w:r w:rsidRPr="00DC30BA">
        <w:rPr>
          <w:rFonts w:ascii="Times New Roman" w:hAnsi="Times New Roman" w:cs="Times New Roman"/>
          <w:sz w:val="28"/>
          <w:szCs w:val="28"/>
        </w:rPr>
        <w:t>. Рабочие растворы готовят соответствующим разбавлением запасного.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Ход анализа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В мерную колбочку на 50 мл взять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аликвоту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вытяжки из почвы с содержанием марганца от 10–20 мкг, прибавить 5 мл рабочего раствора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формальдоксима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и 15 мл рабочего аммиачного буферного раствора, перемешивая содержимое колбочки после  прибавления каждого реактива.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Оставить на 5–10 мин для полного развития окраски. Затем прилить 2,5 мл маскирующего раствора и перемешать, оставить на 10 мин для разрушения комплекса 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формальдоксима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железа и довести водой до метки.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Раствор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фотометрировать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не позднее чем через 30 мин при длине волны 490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 (сине-зеленый светофильтр) относительно Н2О. Калибровочную  кривую строят в интервале 10–15 мкг марганца в пробе.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b/>
          <w:sz w:val="28"/>
          <w:szCs w:val="28"/>
        </w:rPr>
      </w:pPr>
      <w:r w:rsidRPr="00DC30BA">
        <w:rPr>
          <w:rFonts w:ascii="Times New Roman" w:hAnsi="Times New Roman" w:cs="Times New Roman"/>
          <w:b/>
          <w:sz w:val="28"/>
          <w:szCs w:val="28"/>
        </w:rPr>
        <w:t>Лабораторная работа № 1</w:t>
      </w:r>
      <w:r w:rsidRPr="00DC30BA">
        <w:rPr>
          <w:rFonts w:ascii="Times New Roman" w:hAnsi="Times New Roman" w:cs="Times New Roman"/>
          <w:b/>
          <w:sz w:val="28"/>
          <w:szCs w:val="28"/>
        </w:rPr>
        <w:t>2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Определение влияния различных доз токсичных тяжелых металлов на физиологические параметры растений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Цель: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научится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используя методики определять степень  влияние различных концентраций тяжелых металлов на  физиологические параметры растений.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Материалы и оборудование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Чашки Петри, растворы, содержащие ионы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Pb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Cu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Zn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Mo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Co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Mn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 количествах. 0,1; 1; 10 ПДК; семена ячменя, гороха, редиса.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Ход анализа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1. Поместите в 4 чашки Петри по 13 семян исследуемого растения.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2. Прибавьте в три чашки по 10 мл растворов с различными концентрациями тяжелых металлов (0,1; 1; 10 ПДК). В четвертую чашку добавьте 10 мл дистиллированной воды, она будет служить  контролем.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3. Опыт заложите в трехкратной повторности.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4. Оставьте чашки на 6 дней для прорастания семян.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lastRenderedPageBreak/>
        <w:t xml:space="preserve">5. Учтите длину корней в проросших семенах в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мм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>. Учитывать необходимо самые длинные корни в каждом из семян. По три  проростка в каждой чашке с максимальными отклонениями не  учитываются как случайные.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6. Определите средние значения длины корней. Сравните  полученные значения в опытных чашках с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контрольными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>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7. Выводы об устойчивости растения к действию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токсиканта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 оформите в виде таблицы. Для оценки устойчивости растения к 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токсиканту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вводим индекс устойчивости (I уст):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DC30BA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>уст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) 0,1 ПДК = (L1/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Lk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) · 100 %,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Pr="00DC30BA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>уст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) 1 ПДК = (L1/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Lk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) · 100 %,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Pr="00DC30BA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>уст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) 10 ПДК = (L1/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Lk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) · 100 %,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где L1,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Lk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— длина корня проростка при воздействии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токсиканта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 и в контрольном опыте, соответственно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8. Составить таблицу, отражающую устойчивость данного растения к соответствующим концентрациям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предложенных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токсикантов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Лабораторная работа № 1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Определение влияния токсичных тяжелых металлов 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на биохимические параметры растений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Цель: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научится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используя методики определять степень  влияние различных концентраций тяжелых металлов на  биохимические  параметры растений.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В качестве биохимического параметра выберем активность  фермента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сукцинатдегидрогеназы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 корнях проростков семян ячменя до и после обработки ионами тяжелых токсичных металлов.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Материалы и оборудование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Растворы, содержащие ионы меди, свинца и марганца в количествах 0,1; 1; 10 ПДК,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фотоэлектрокалориметр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(ФЭК-2), проростки семян ячменя.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Ход работы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Метод определения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сукцинатдегидрогеназной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активности в 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гомогенатах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тканей.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Принцип: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Сукцинатдегидрогеназа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катализирует реакцию: 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сукцинат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фумарат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+ 2Н.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Метод регистрации ферментативной активности основан на определении скорости падения оптической плотности окисленной формы 2,6-дихлорфенол-индофенолята натрия (2,6-ДХФИФ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Na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)  при акцептировании им протонов от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сукцината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и переходе в восстановленную форму, не имеющую при длине волны 600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оптической плотности. Изменение оптической плотности на 1,0 соответствует окислению 60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наномолей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сукцината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Реактивы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1. Фосфатный буфер 0,1М, рН 7,5: 7,8 г NaH2PO4 растворяют  приблизительно в 400 мл воды, затем под контролем рН-метра и  интенсивном перемешивании раствора на магнитной мешалке  добавляют гранулы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NaOH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до установления значения рН 7,5, </w:t>
      </w:r>
      <w:proofErr w:type="spellStart"/>
      <w:proofErr w:type="gramStart"/>
      <w:r w:rsidRPr="00DC30BA">
        <w:rPr>
          <w:rFonts w:ascii="Times New Roman" w:hAnsi="Times New Roman" w:cs="Times New Roman"/>
          <w:sz w:val="28"/>
          <w:szCs w:val="28"/>
        </w:rPr>
        <w:t>пос</w:t>
      </w:r>
      <w:proofErr w:type="spellEnd"/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чего доводят объем до 500 мл. Хранить буфер в холодильнике.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NaCN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(7мг/2мл дистиллированной воды) нейтрализуют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НС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l</w:t>
      </w:r>
      <w:proofErr w:type="spellEnd"/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2N до рН 7,0–7,5. Этот реагент применяется для блокады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цитохромов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, которые без блокирования переносили бы электроны и протоны не на 2,6-ДХФИФ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Na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>, а на кислород и тем самым мешали бы определению активности фермента.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Феназинметсульфат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(ФМС) 0,02М раствор (8мг/2мл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дист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.  воды). Этот реагент является промежуточным акцептором электронов и протонов и облегчает перенос их на 2,6-ДХФИФ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Na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>. Его  готовят в день определения активности СДГ и хранят в темной  посуде.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4. 2,6-ДХФИФ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Na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— 6мг/10 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дист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. воды. Готовят на неделю работы, хранят в темной посуде. Окисленная его форма имеет синий цвет, при восстановлении становится бесцветной.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Сукцинат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0,5М раствор — 590мг/10мл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дист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. воды, нейтрализовать гранулами гидроксида натрия или калия до рН 7,0–7,5.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Гомогенат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ткани 1: 10, приготовленный на 0,15 М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КС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l</w:t>
      </w:r>
      <w:proofErr w:type="spellEnd"/>
      <w:proofErr w:type="gramEnd"/>
      <w:r w:rsidRPr="00DC30BA">
        <w:rPr>
          <w:rFonts w:ascii="Times New Roman" w:hAnsi="Times New Roman" w:cs="Times New Roman"/>
          <w:sz w:val="28"/>
          <w:szCs w:val="28"/>
        </w:rPr>
        <w:t>, свежеприготовленный, хранить в холодильнике при отрицательной  температуре.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Техника определения активности фермента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Состав инкубационной смеси: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фосфатный буфер 0,1М, рН 7,5 .............................................. 0,8 мл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C30BA">
        <w:rPr>
          <w:rFonts w:ascii="Times New Roman" w:hAnsi="Times New Roman" w:cs="Times New Roman"/>
          <w:sz w:val="28"/>
          <w:szCs w:val="28"/>
        </w:rPr>
        <w:t>NaCN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......................................................................................... 0,1 мл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ФМС.......................................................................................... 0,1 мл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2,6-ДХФИФ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Na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>........................................................................ 0,05 мл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гомогенат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1: 10 ..................................................................... 0,005 мл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Реакцию после измерения исходной оптической плотности при  длине волны 600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 кювете с длиной оптического пути 1 см  запускают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сукцинатом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0,05мл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Регистрируют время, за которое уменьшится оптическая плотность на 0,1 единицы. Реакцию проводят в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термостатируемой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 кювете при 30 градусах Цельсия (можно и при 26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и при 37 °С).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lastRenderedPageBreak/>
        <w:t xml:space="preserve">Техника расчета активности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сукцинатдегидрогеназы</w:t>
      </w:r>
      <w:proofErr w:type="spellEnd"/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Допустим, что оптическая плотность инкубационной смеси снизилась на 0,1 ед. за 10 секунд, за минуту она уменьшилась бы  на 0,1 х 6 = 0,6 ед. Известно, что падение оптической плотности на 1,0 равно окислению 60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субстрата. Отсюда по пропорции  находим, сколько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сукцината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окислилось при изменении оптической плотности на 0,6 ед.: 60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нмолей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сукцината</w:t>
      </w:r>
      <w:proofErr w:type="spellEnd"/>
      <w:proofErr w:type="gramStart"/>
      <w:r w:rsidRPr="00DC30B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1 = х : 0,6  из пропорции х = 36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нмолей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сукцината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х мин –1.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Активность фермента необходимо выразить на белок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гомогената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, который определяют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биуретовым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методом.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Принцип метода: при взаимодейств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нов с белками образуется комплекс с пептидными связями, который обладает оптической плотностью при 540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. Окраска пропорциональна количеству белка в пределах 2-10 мг белка.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>Реактивы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1. Стандартный раствор бычьего сывороточного альбумина,  содержащий 10 мг белка в 1 мл.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Биуретовый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реактив: (0,15 г  CuSO4 x 5H2O и 0,6 г NaKC4H6O6 натрий-калий виннокислый или  сегнетова соль) растворяют в 50 мл дистиллированной воды, при  энергичном перемешивании приливают туда 30 мл 10 %-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Na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>H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(свободного от Na2CO3), добавляют 0,1 г KJ и доводят водой до 100 мл. Хранят в холодильнике.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Техника определения белка в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гомогенатах</w:t>
      </w:r>
      <w:proofErr w:type="spellEnd"/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30BA">
        <w:rPr>
          <w:rFonts w:ascii="Times New Roman" w:hAnsi="Times New Roman" w:cs="Times New Roman"/>
          <w:sz w:val="28"/>
          <w:szCs w:val="28"/>
        </w:rPr>
        <w:t>Для построения калибровочного графика берут ряд стеклянных пробирок и подписывают их: 1 — контроль на реактивы; 2 —0,2 мл стандартного раствора белка (2 мл белка); 3 — 0,4 мл ст. р-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б. (4мг); 4 — 0,6 мл ст. р-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б.(10 мг); 5 — 0,8 ст. р-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б. (8 мг);6 — 1 мл ст. р-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б. (10 мг).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В контроль вносят один 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дист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. воды, в 2 пробирку + 0,8 мл воды; 3 — 0,6 мл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оды; 4 — 0,2 мл воды; 5 — 0 мл воды. Затем во все пробирки вносят по 4 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биуретового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реактива и инкубируют при комнатной температуре 30 мин.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Затем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фотометрируют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при 540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в кювете с длиной оптического пути  1 см. Из опытных проб вычитают значение контрольной пробы и  по изменению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строят график, откладывая по оси ординат значения оптической плотности, а по оси абсцисс — значения белка в  мг. Из графика можно получить коэффициент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Смг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>/Е). Для нашего графика он равен 17,8.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При определении белка в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гомогенатах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поступают следующим образом: в контроль добавляют 1 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дист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. воды, в опытные — по  0,1 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гомогената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1:10 + 0,9 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дист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. воды. Затем во все пробы —  по 4 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биуретового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реактива и далее, как при построении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колибровочного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графика. Из опытных проб вычитают значение холостой пробы (контроль) и по изменению оптической плотности, которое умножают на коэффициент графика, находят количество  белка в мг в пробе.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lastRenderedPageBreak/>
        <w:t xml:space="preserve">Допустим, изменение оптической плотности для белка печени при 540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равно 0,16. При умножении 0,16 на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Кгр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(17,8) находим количество белка в 0,1 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гомогената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1:10 = 2,85 мг.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Определяя активность СДГ, мы вносили 0,005 мл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гомогената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 1:10, т.е. 0,1: 0,005 = 1/20 часть от 0,1 мл и белок в этой добавке был также в 20 раз меньше (2,85:20 = 0,14 мг).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Расчет активности СДГ лучше вести на 1 мг белка. Для этого составляем пропорцию: за 1 мин СДГ окислила 36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нмоль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ЯК и там было 0,14 мг белка, а 1 мг белка окислили бы Х </w:t>
      </w:r>
      <w:proofErr w:type="spellStart"/>
      <w:r w:rsidRPr="00DC30BA">
        <w:rPr>
          <w:rFonts w:ascii="Times New Roman" w:hAnsi="Times New Roman" w:cs="Times New Roman"/>
          <w:sz w:val="28"/>
          <w:szCs w:val="28"/>
        </w:rPr>
        <w:t>нмоль</w:t>
      </w:r>
      <w:proofErr w:type="spellEnd"/>
      <w:r w:rsidRPr="00DC30BA">
        <w:rPr>
          <w:rFonts w:ascii="Times New Roman" w:hAnsi="Times New Roman" w:cs="Times New Roman"/>
          <w:sz w:val="28"/>
          <w:szCs w:val="28"/>
        </w:rPr>
        <w:t xml:space="preserve"> ЯК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30B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DC30BA">
        <w:rPr>
          <w:rFonts w:ascii="Times New Roman" w:hAnsi="Times New Roman" w:cs="Times New Roman"/>
          <w:sz w:val="28"/>
          <w:szCs w:val="28"/>
        </w:rPr>
        <w:t xml:space="preserve">елка.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  <w:r w:rsidRPr="00DC30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DC30BA" w:rsidRPr="00DC30BA" w:rsidRDefault="00DC30BA" w:rsidP="00DC30BA">
      <w:pPr>
        <w:rPr>
          <w:rFonts w:ascii="Times New Roman" w:hAnsi="Times New Roman" w:cs="Times New Roman"/>
          <w:sz w:val="28"/>
          <w:szCs w:val="28"/>
        </w:rPr>
      </w:pPr>
    </w:p>
    <w:p w:rsidR="00AF6214" w:rsidRPr="00DC30BA" w:rsidRDefault="0027271B">
      <w:pPr>
        <w:rPr>
          <w:rFonts w:ascii="Times New Roman" w:hAnsi="Times New Roman" w:cs="Times New Roman"/>
          <w:sz w:val="28"/>
          <w:szCs w:val="28"/>
        </w:rPr>
      </w:pPr>
    </w:p>
    <w:sectPr w:rsidR="00AF6214" w:rsidRPr="00DC3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02FA9"/>
    <w:multiLevelType w:val="hybridMultilevel"/>
    <w:tmpl w:val="614C1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0BA"/>
    <w:rsid w:val="00027B7A"/>
    <w:rsid w:val="000A25B4"/>
    <w:rsid w:val="001D525E"/>
    <w:rsid w:val="0027271B"/>
    <w:rsid w:val="00320E20"/>
    <w:rsid w:val="003A14CF"/>
    <w:rsid w:val="00916E45"/>
    <w:rsid w:val="00BC692D"/>
    <w:rsid w:val="00DC30BA"/>
    <w:rsid w:val="00E6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0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27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27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0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27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27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5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23</Pages>
  <Words>6407</Words>
  <Characters>36526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</dc:creator>
  <cp:lastModifiedBy>Тимур</cp:lastModifiedBy>
  <cp:revision>3</cp:revision>
  <dcterms:created xsi:type="dcterms:W3CDTF">2019-01-15T13:56:00Z</dcterms:created>
  <dcterms:modified xsi:type="dcterms:W3CDTF">2019-01-15T14:28:00Z</dcterms:modified>
</cp:coreProperties>
</file>